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BAE3" w14:textId="6D2C7E27" w:rsidR="009F0340" w:rsidRDefault="008801FA" w:rsidP="006600E5">
      <w:pPr>
        <w:pStyle w:val="Title"/>
      </w:pPr>
      <w:r>
        <w:t>BAINZ</w:t>
      </w:r>
      <w:r w:rsidR="009E3ACC">
        <w:t xml:space="preserve"> Fibre </w:t>
      </w:r>
      <w:r w:rsidR="00BD4E61">
        <w:t>92</w:t>
      </w:r>
      <w:r w:rsidR="009C0CF9">
        <w:t>0</w:t>
      </w:r>
      <w:r>
        <w:t xml:space="preserve"> - Offer Summary</w:t>
      </w:r>
    </w:p>
    <w:p w14:paraId="13096D17" w14:textId="28F81237" w:rsidR="008801FA" w:rsidRPr="006600E5" w:rsidRDefault="008801FA" w:rsidP="006600E5">
      <w:r w:rsidRPr="006600E5">
        <w:t xml:space="preserve">Here are the </w:t>
      </w:r>
      <w:r w:rsidR="00562C9F">
        <w:t>Service T</w:t>
      </w:r>
      <w:r w:rsidRPr="006600E5">
        <w:t xml:space="preserve">erms for </w:t>
      </w:r>
      <w:r w:rsidR="00562C9F">
        <w:t>the</w:t>
      </w:r>
      <w:r w:rsidRPr="006600E5">
        <w:t xml:space="preserve"> BAINZ Fibre </w:t>
      </w:r>
      <w:r w:rsidR="00BD4E61">
        <w:t>92</w:t>
      </w:r>
      <w:r w:rsidR="009C0CF9">
        <w:t>0</w:t>
      </w:r>
      <w:r w:rsidRPr="006600E5">
        <w:t xml:space="preserve"> plan. By using this service, you agree to these terms and any updates. Our General Terms for all services also apply. </w:t>
      </w:r>
    </w:p>
    <w:tbl>
      <w:tblPr>
        <w:tblStyle w:val="TableGrid"/>
        <w:tblW w:w="0" w:type="auto"/>
        <w:tblLook w:val="04A0" w:firstRow="1" w:lastRow="0" w:firstColumn="1" w:lastColumn="0" w:noHBand="0" w:noVBand="1"/>
      </w:tblPr>
      <w:tblGrid>
        <w:gridCol w:w="2405"/>
        <w:gridCol w:w="6611"/>
      </w:tblGrid>
      <w:tr w:rsidR="009F05B3" w14:paraId="0367C65C" w14:textId="77777777" w:rsidTr="006600E5">
        <w:tc>
          <w:tcPr>
            <w:tcW w:w="2405" w:type="dxa"/>
            <w:shd w:val="clear" w:color="auto" w:fill="C1E4F5" w:themeFill="accent1" w:themeFillTint="33"/>
          </w:tcPr>
          <w:p w14:paraId="75209EA6" w14:textId="521F9A82" w:rsidR="009F05B3" w:rsidRPr="006600E5" w:rsidRDefault="00BC4492" w:rsidP="006600E5">
            <w:pPr>
              <w:spacing w:before="120" w:after="120"/>
              <w:rPr>
                <w:b/>
                <w:bCs/>
              </w:rPr>
            </w:pPr>
            <w:r>
              <w:rPr>
                <w:b/>
                <w:bCs/>
              </w:rPr>
              <w:t>Plan</w:t>
            </w:r>
            <w:r w:rsidR="009F05B3" w:rsidRPr="006600E5">
              <w:rPr>
                <w:b/>
                <w:bCs/>
              </w:rPr>
              <w:t xml:space="preserve"> Name</w:t>
            </w:r>
          </w:p>
        </w:tc>
        <w:tc>
          <w:tcPr>
            <w:tcW w:w="6611" w:type="dxa"/>
          </w:tcPr>
          <w:p w14:paraId="7F733FE9" w14:textId="36C6ECCC" w:rsidR="009F05B3" w:rsidRPr="00873FDA" w:rsidRDefault="009F05B3" w:rsidP="006600E5">
            <w:pPr>
              <w:spacing w:before="120" w:after="120"/>
              <w:rPr>
                <w:b/>
                <w:bCs/>
              </w:rPr>
            </w:pPr>
            <w:r w:rsidRPr="00873FDA">
              <w:rPr>
                <w:b/>
                <w:bCs/>
              </w:rPr>
              <w:t xml:space="preserve">BAINZ Fibre </w:t>
            </w:r>
            <w:r w:rsidR="0038492B">
              <w:rPr>
                <w:b/>
                <w:bCs/>
              </w:rPr>
              <w:t>920</w:t>
            </w:r>
          </w:p>
        </w:tc>
      </w:tr>
      <w:tr w:rsidR="00BC4492" w14:paraId="1FE7BD1D" w14:textId="77777777" w:rsidTr="006600E5">
        <w:tc>
          <w:tcPr>
            <w:tcW w:w="2405" w:type="dxa"/>
            <w:shd w:val="clear" w:color="auto" w:fill="C1E4F5" w:themeFill="accent1" w:themeFillTint="33"/>
          </w:tcPr>
          <w:p w14:paraId="421F6D3C" w14:textId="242407F7" w:rsidR="00BC4492" w:rsidRDefault="00BC4492" w:rsidP="006600E5">
            <w:pPr>
              <w:spacing w:before="120" w:after="120"/>
              <w:rPr>
                <w:b/>
                <w:bCs/>
              </w:rPr>
            </w:pPr>
            <w:r>
              <w:rPr>
                <w:b/>
                <w:bCs/>
              </w:rPr>
              <w:t>Plan Type</w:t>
            </w:r>
          </w:p>
        </w:tc>
        <w:tc>
          <w:tcPr>
            <w:tcW w:w="6611" w:type="dxa"/>
          </w:tcPr>
          <w:p w14:paraId="4AAE6865" w14:textId="67753A6B" w:rsidR="00BC4492" w:rsidRPr="006600E5" w:rsidRDefault="00BC4492" w:rsidP="006600E5">
            <w:pPr>
              <w:spacing w:before="120" w:after="120"/>
            </w:pPr>
            <w:r>
              <w:t>Open Term</w:t>
            </w:r>
          </w:p>
        </w:tc>
      </w:tr>
      <w:tr w:rsidR="00BC4492" w14:paraId="3B8C7520" w14:textId="77777777" w:rsidTr="006600E5">
        <w:tc>
          <w:tcPr>
            <w:tcW w:w="2405" w:type="dxa"/>
            <w:shd w:val="clear" w:color="auto" w:fill="C1E4F5" w:themeFill="accent1" w:themeFillTint="33"/>
          </w:tcPr>
          <w:p w14:paraId="62B24593" w14:textId="6E02A60E" w:rsidR="00BC4492" w:rsidRDefault="00BC4492" w:rsidP="006600E5">
            <w:pPr>
              <w:spacing w:before="120" w:after="120"/>
              <w:rPr>
                <w:b/>
                <w:bCs/>
              </w:rPr>
            </w:pPr>
            <w:r>
              <w:rPr>
                <w:b/>
                <w:bCs/>
              </w:rPr>
              <w:t>Access Type</w:t>
            </w:r>
          </w:p>
        </w:tc>
        <w:tc>
          <w:tcPr>
            <w:tcW w:w="6611" w:type="dxa"/>
          </w:tcPr>
          <w:p w14:paraId="6C23FC21" w14:textId="4D9EB097" w:rsidR="00BC4492" w:rsidRPr="006600E5" w:rsidRDefault="00BC4492" w:rsidP="006600E5">
            <w:pPr>
              <w:spacing w:before="120" w:after="120"/>
            </w:pPr>
            <w:r>
              <w:t>Fibre</w:t>
            </w:r>
            <w:r w:rsidR="00F906A7">
              <w:t xml:space="preserve"> only</w:t>
            </w:r>
          </w:p>
        </w:tc>
      </w:tr>
      <w:tr w:rsidR="00041574" w14:paraId="00AEBE7B" w14:textId="77777777" w:rsidTr="006600E5">
        <w:tc>
          <w:tcPr>
            <w:tcW w:w="2405" w:type="dxa"/>
            <w:shd w:val="clear" w:color="auto" w:fill="C1E4F5" w:themeFill="accent1" w:themeFillTint="33"/>
          </w:tcPr>
          <w:p w14:paraId="71FFC846" w14:textId="5325CA51" w:rsidR="00041574" w:rsidRDefault="00041574" w:rsidP="00041574">
            <w:pPr>
              <w:spacing w:before="120" w:after="120"/>
              <w:rPr>
                <w:b/>
                <w:bCs/>
              </w:rPr>
            </w:pPr>
            <w:r>
              <w:rPr>
                <w:b/>
                <w:bCs/>
              </w:rPr>
              <w:t>Data Throughput Speeds</w:t>
            </w:r>
            <w:r>
              <w:rPr>
                <w:rStyle w:val="FootnoteReference"/>
                <w:b/>
                <w:bCs/>
              </w:rPr>
              <w:footnoteReference w:id="1"/>
            </w:r>
          </w:p>
        </w:tc>
        <w:tc>
          <w:tcPr>
            <w:tcW w:w="6611" w:type="dxa"/>
          </w:tcPr>
          <w:p w14:paraId="0E5B3BCF" w14:textId="1F8307C1" w:rsidR="00041574" w:rsidRDefault="00041574" w:rsidP="00041574">
            <w:pPr>
              <w:spacing w:before="120" w:after="120"/>
            </w:pPr>
            <w:r>
              <w:t xml:space="preserve">Download Speed at </w:t>
            </w:r>
            <w:r w:rsidR="002F1573">
              <w:t xml:space="preserve">920 </w:t>
            </w:r>
            <w:r>
              <w:t>Mbps</w:t>
            </w:r>
          </w:p>
          <w:p w14:paraId="7CB32C13" w14:textId="20529E30" w:rsidR="00041574" w:rsidRDefault="00041574" w:rsidP="00041574">
            <w:pPr>
              <w:spacing w:before="120" w:after="120"/>
            </w:pPr>
            <w:r>
              <w:t xml:space="preserve">Upload Speed at </w:t>
            </w:r>
            <w:r w:rsidR="002F1573">
              <w:t xml:space="preserve">500 </w:t>
            </w:r>
            <w:r>
              <w:t>Mbps</w:t>
            </w:r>
            <w:r w:rsidR="002438CB">
              <w:t xml:space="preserve"> </w:t>
            </w:r>
          </w:p>
        </w:tc>
      </w:tr>
      <w:tr w:rsidR="00041574" w14:paraId="7A57DE73" w14:textId="77777777" w:rsidTr="006600E5">
        <w:tc>
          <w:tcPr>
            <w:tcW w:w="2405" w:type="dxa"/>
            <w:shd w:val="clear" w:color="auto" w:fill="C1E4F5" w:themeFill="accent1" w:themeFillTint="33"/>
          </w:tcPr>
          <w:p w14:paraId="3F315C83" w14:textId="5920983D" w:rsidR="00041574" w:rsidRPr="006600E5" w:rsidRDefault="00041574" w:rsidP="00041574">
            <w:pPr>
              <w:spacing w:before="120" w:after="120"/>
              <w:rPr>
                <w:b/>
                <w:bCs/>
              </w:rPr>
            </w:pPr>
            <w:r w:rsidRPr="006600E5">
              <w:rPr>
                <w:b/>
                <w:bCs/>
              </w:rPr>
              <w:t>Service Description</w:t>
            </w:r>
          </w:p>
        </w:tc>
        <w:tc>
          <w:tcPr>
            <w:tcW w:w="6611" w:type="dxa"/>
          </w:tcPr>
          <w:p w14:paraId="63B6E40E" w14:textId="40123C65" w:rsidR="00041574" w:rsidRPr="006600E5" w:rsidRDefault="00041574" w:rsidP="00041574">
            <w:pPr>
              <w:spacing w:before="120" w:after="120"/>
            </w:pPr>
            <w:r w:rsidRPr="006600E5">
              <w:t xml:space="preserve">The BAINZ Fibre </w:t>
            </w:r>
            <w:r>
              <w:t xml:space="preserve">services are </w:t>
            </w:r>
            <w:r w:rsidRPr="006600E5">
              <w:t xml:space="preserve">available over the fibre access network </w:t>
            </w:r>
            <w:r>
              <w:t xml:space="preserve">to </w:t>
            </w:r>
            <w:r w:rsidRPr="006600E5">
              <w:t>provide</w:t>
            </w:r>
            <w:r>
              <w:t xml:space="preserve"> ultrafast broadband services in the Availability Areas.</w:t>
            </w:r>
          </w:p>
        </w:tc>
      </w:tr>
      <w:tr w:rsidR="00041574" w14:paraId="6A3EA5E5" w14:textId="77777777" w:rsidTr="006600E5">
        <w:tc>
          <w:tcPr>
            <w:tcW w:w="2405" w:type="dxa"/>
            <w:shd w:val="clear" w:color="auto" w:fill="C1E4F5" w:themeFill="accent1" w:themeFillTint="33"/>
          </w:tcPr>
          <w:p w14:paraId="17FDDB2A" w14:textId="184149EA" w:rsidR="00041574" w:rsidRPr="006600E5" w:rsidRDefault="00041574" w:rsidP="00041574">
            <w:pPr>
              <w:spacing w:before="120" w:after="120"/>
              <w:rPr>
                <w:b/>
                <w:bCs/>
              </w:rPr>
            </w:pPr>
            <w:r w:rsidRPr="006600E5">
              <w:rPr>
                <w:b/>
                <w:bCs/>
              </w:rPr>
              <w:t>Service Address Type</w:t>
            </w:r>
          </w:p>
        </w:tc>
        <w:tc>
          <w:tcPr>
            <w:tcW w:w="6611" w:type="dxa"/>
          </w:tcPr>
          <w:p w14:paraId="00CD97A1" w14:textId="4422848F" w:rsidR="00041574" w:rsidRPr="006600E5" w:rsidRDefault="00041574" w:rsidP="00041574">
            <w:pPr>
              <w:spacing w:before="120" w:after="120"/>
            </w:pPr>
            <w:r>
              <w:t>Available at r</w:t>
            </w:r>
            <w:r w:rsidRPr="006600E5">
              <w:t xml:space="preserve">esidential </w:t>
            </w:r>
            <w:r>
              <w:t>addresses only.</w:t>
            </w:r>
          </w:p>
        </w:tc>
      </w:tr>
      <w:tr w:rsidR="00041574" w14:paraId="1E52821B" w14:textId="77777777" w:rsidTr="006600E5">
        <w:tc>
          <w:tcPr>
            <w:tcW w:w="2405" w:type="dxa"/>
            <w:shd w:val="clear" w:color="auto" w:fill="C1E4F5" w:themeFill="accent1" w:themeFillTint="33"/>
          </w:tcPr>
          <w:p w14:paraId="006F3B0E" w14:textId="60A22884" w:rsidR="00041574" w:rsidRPr="006600E5" w:rsidRDefault="00041574" w:rsidP="00041574">
            <w:pPr>
              <w:spacing w:before="120" w:after="120"/>
              <w:rPr>
                <w:b/>
                <w:bCs/>
              </w:rPr>
            </w:pPr>
            <w:r>
              <w:rPr>
                <w:b/>
                <w:bCs/>
              </w:rPr>
              <w:t>Availability Areas</w:t>
            </w:r>
          </w:p>
        </w:tc>
        <w:tc>
          <w:tcPr>
            <w:tcW w:w="6611" w:type="dxa"/>
          </w:tcPr>
          <w:p w14:paraId="46394680" w14:textId="1E772A47" w:rsidR="00041574" w:rsidRPr="006600E5" w:rsidRDefault="00041574" w:rsidP="00041574">
            <w:pPr>
              <w:spacing w:before="120" w:after="120"/>
            </w:pPr>
            <w:r w:rsidRPr="00FB682F">
              <w:t xml:space="preserve">Our </w:t>
            </w:r>
            <w:r>
              <w:t>services are available</w:t>
            </w:r>
            <w:r w:rsidRPr="00FB682F">
              <w:t xml:space="preserve"> </w:t>
            </w:r>
            <w:r>
              <w:t>in the</w:t>
            </w:r>
            <w:r w:rsidRPr="00FB682F">
              <w:t xml:space="preserve"> Chorus</w:t>
            </w:r>
            <w:r>
              <w:t xml:space="preserve"> fibre</w:t>
            </w:r>
            <w:r w:rsidRPr="00FB682F">
              <w:t xml:space="preserve"> </w:t>
            </w:r>
            <w:r>
              <w:t>coverage areas and</w:t>
            </w:r>
            <w:r w:rsidRPr="00FB682F">
              <w:t xml:space="preserve"> will expand to include other Local Fibre Company (LFC) areas</w:t>
            </w:r>
            <w:r>
              <w:t xml:space="preserve"> in due course</w:t>
            </w:r>
            <w:r w:rsidRPr="00FB682F">
              <w:t>.</w:t>
            </w:r>
            <w:r>
              <w:t xml:space="preserve"> </w:t>
            </w:r>
          </w:p>
        </w:tc>
      </w:tr>
      <w:tr w:rsidR="00041574" w14:paraId="65CB61D4" w14:textId="77777777" w:rsidTr="006600E5">
        <w:tc>
          <w:tcPr>
            <w:tcW w:w="2405" w:type="dxa"/>
            <w:shd w:val="clear" w:color="auto" w:fill="C1E4F5" w:themeFill="accent1" w:themeFillTint="33"/>
          </w:tcPr>
          <w:p w14:paraId="686CE2B4" w14:textId="2D52348C" w:rsidR="00041574" w:rsidRDefault="00041574" w:rsidP="00041574">
            <w:pPr>
              <w:spacing w:before="120" w:after="120"/>
              <w:rPr>
                <w:b/>
                <w:bCs/>
              </w:rPr>
            </w:pPr>
            <w:r>
              <w:rPr>
                <w:b/>
                <w:bCs/>
              </w:rPr>
              <w:t>Address Checker</w:t>
            </w:r>
          </w:p>
        </w:tc>
        <w:tc>
          <w:tcPr>
            <w:tcW w:w="6611" w:type="dxa"/>
          </w:tcPr>
          <w:p w14:paraId="34421278" w14:textId="5C9DA9FA" w:rsidR="00041574" w:rsidRPr="00FB682F" w:rsidRDefault="00041574" w:rsidP="00041574">
            <w:pPr>
              <w:spacing w:before="120" w:after="120"/>
            </w:pPr>
            <w:r>
              <w:t xml:space="preserve">To check if your address is serviced by our services use our Address Checker on our website </w:t>
            </w:r>
            <w:hyperlink r:id="rId7" w:history="1">
              <w:r w:rsidRPr="00DE2621">
                <w:rPr>
                  <w:rStyle w:val="Hyperlink"/>
                </w:rPr>
                <w:t>https://www.bainz.co.nz</w:t>
              </w:r>
            </w:hyperlink>
            <w:r>
              <w:t xml:space="preserve">  </w:t>
            </w:r>
          </w:p>
        </w:tc>
      </w:tr>
      <w:tr w:rsidR="00041574" w14:paraId="65D4FC67" w14:textId="77777777" w:rsidTr="006600E5">
        <w:tc>
          <w:tcPr>
            <w:tcW w:w="2405" w:type="dxa"/>
            <w:shd w:val="clear" w:color="auto" w:fill="C1E4F5" w:themeFill="accent1" w:themeFillTint="33"/>
          </w:tcPr>
          <w:p w14:paraId="5E561070" w14:textId="47107FD2" w:rsidR="00041574" w:rsidRPr="006600E5" w:rsidRDefault="00041574" w:rsidP="00041574">
            <w:pPr>
              <w:spacing w:before="120" w:after="120"/>
              <w:rPr>
                <w:b/>
                <w:bCs/>
              </w:rPr>
            </w:pPr>
            <w:r>
              <w:rPr>
                <w:b/>
                <w:bCs/>
              </w:rPr>
              <w:t>Standard Term</w:t>
            </w:r>
          </w:p>
        </w:tc>
        <w:tc>
          <w:tcPr>
            <w:tcW w:w="6611" w:type="dxa"/>
          </w:tcPr>
          <w:p w14:paraId="26C16F3B" w14:textId="43D6601D" w:rsidR="00041574" w:rsidRPr="006600E5" w:rsidRDefault="00041574" w:rsidP="00041574">
            <w:pPr>
              <w:spacing w:before="120" w:after="120"/>
            </w:pPr>
            <w:r>
              <w:t xml:space="preserve">1 month </w:t>
            </w:r>
          </w:p>
        </w:tc>
      </w:tr>
      <w:tr w:rsidR="00041574" w14:paraId="32121BAE" w14:textId="77777777" w:rsidTr="006600E5">
        <w:tc>
          <w:tcPr>
            <w:tcW w:w="2405" w:type="dxa"/>
            <w:shd w:val="clear" w:color="auto" w:fill="C1E4F5" w:themeFill="accent1" w:themeFillTint="33"/>
          </w:tcPr>
          <w:p w14:paraId="36E3F0AE" w14:textId="52F8B733" w:rsidR="00041574" w:rsidRPr="006600E5" w:rsidRDefault="00041574" w:rsidP="00041574">
            <w:pPr>
              <w:spacing w:before="120" w:after="120"/>
              <w:rPr>
                <w:b/>
                <w:bCs/>
              </w:rPr>
            </w:pPr>
            <w:r>
              <w:rPr>
                <w:b/>
                <w:bCs/>
              </w:rPr>
              <w:t>Price Adjustments</w:t>
            </w:r>
          </w:p>
        </w:tc>
        <w:tc>
          <w:tcPr>
            <w:tcW w:w="6611" w:type="dxa"/>
          </w:tcPr>
          <w:p w14:paraId="61952750" w14:textId="5D00557D" w:rsidR="00041574" w:rsidRPr="006600E5" w:rsidRDefault="00041574" w:rsidP="00041574">
            <w:pPr>
              <w:spacing w:before="120" w:after="120"/>
            </w:pPr>
            <w:r>
              <w:t>Our Prices are subject to annual price increase based on the Consumer Price Index (CPI) as defined by NZ-Stats. All price increases are notified in accordance with our General Terms.</w:t>
            </w:r>
          </w:p>
        </w:tc>
      </w:tr>
      <w:tr w:rsidR="00041574" w14:paraId="35F482F0" w14:textId="77777777" w:rsidTr="006600E5">
        <w:tc>
          <w:tcPr>
            <w:tcW w:w="2405" w:type="dxa"/>
            <w:shd w:val="clear" w:color="auto" w:fill="C1E4F5" w:themeFill="accent1" w:themeFillTint="33"/>
          </w:tcPr>
          <w:p w14:paraId="7BBCA019" w14:textId="353B9A03" w:rsidR="00041574" w:rsidRPr="006600E5" w:rsidRDefault="004F7A6C" w:rsidP="00041574">
            <w:pPr>
              <w:spacing w:before="120" w:after="120"/>
              <w:rPr>
                <w:b/>
                <w:bCs/>
              </w:rPr>
            </w:pPr>
            <w:r>
              <w:rPr>
                <w:b/>
                <w:bCs/>
              </w:rPr>
              <w:t>Service</w:t>
            </w:r>
            <w:r w:rsidR="00041574">
              <w:rPr>
                <w:b/>
                <w:bCs/>
              </w:rPr>
              <w:t xml:space="preserve"> Charges</w:t>
            </w:r>
          </w:p>
        </w:tc>
        <w:tc>
          <w:tcPr>
            <w:tcW w:w="6611" w:type="dxa"/>
          </w:tcPr>
          <w:p w14:paraId="7F8E9183" w14:textId="100B91B9" w:rsidR="00041574" w:rsidRDefault="00041574" w:rsidP="00041574">
            <w:pPr>
              <w:spacing w:before="120" w:after="120"/>
            </w:pPr>
            <w:r>
              <w:t>Our services are subject to</w:t>
            </w:r>
            <w:r w:rsidR="00F75EA1">
              <w:t xml:space="preserve"> the following</w:t>
            </w:r>
            <w:r>
              <w:t xml:space="preserve"> charges:</w:t>
            </w:r>
          </w:p>
          <w:tbl>
            <w:tblPr>
              <w:tblStyle w:val="TableGrid"/>
              <w:tblW w:w="0" w:type="auto"/>
              <w:tblLook w:val="04A0" w:firstRow="1" w:lastRow="0" w:firstColumn="1" w:lastColumn="0" w:noHBand="0" w:noVBand="1"/>
            </w:tblPr>
            <w:tblGrid>
              <w:gridCol w:w="2578"/>
              <w:gridCol w:w="1985"/>
              <w:gridCol w:w="1822"/>
            </w:tblGrid>
            <w:tr w:rsidR="00041574" w14:paraId="06AE6429" w14:textId="6042BD23" w:rsidTr="00334336">
              <w:tc>
                <w:tcPr>
                  <w:tcW w:w="2578" w:type="dxa"/>
                  <w:shd w:val="clear" w:color="auto" w:fill="C1E4F5" w:themeFill="accent1" w:themeFillTint="33"/>
                </w:tcPr>
                <w:p w14:paraId="477508E8" w14:textId="66EB5998" w:rsidR="00041574" w:rsidRPr="00DC2221" w:rsidRDefault="00041574" w:rsidP="00041574">
                  <w:pPr>
                    <w:spacing w:before="120" w:after="120"/>
                    <w:rPr>
                      <w:b/>
                      <w:bCs/>
                    </w:rPr>
                  </w:pPr>
                  <w:r w:rsidRPr="00DC2221">
                    <w:rPr>
                      <w:b/>
                      <w:bCs/>
                    </w:rPr>
                    <w:t>Plan Name</w:t>
                  </w:r>
                </w:p>
              </w:tc>
              <w:tc>
                <w:tcPr>
                  <w:tcW w:w="1985" w:type="dxa"/>
                  <w:shd w:val="clear" w:color="auto" w:fill="C1E4F5" w:themeFill="accent1" w:themeFillTint="33"/>
                </w:tcPr>
                <w:p w14:paraId="6FE38691" w14:textId="3B3C5CE1" w:rsidR="00041574" w:rsidRPr="00DC2221" w:rsidRDefault="00041574" w:rsidP="00041574">
                  <w:pPr>
                    <w:spacing w:before="120" w:after="120"/>
                    <w:rPr>
                      <w:b/>
                      <w:bCs/>
                    </w:rPr>
                  </w:pPr>
                  <w:r w:rsidRPr="00DC2221">
                    <w:rPr>
                      <w:b/>
                      <w:bCs/>
                    </w:rPr>
                    <w:t>Recurring Charges</w:t>
                  </w:r>
                </w:p>
              </w:tc>
              <w:tc>
                <w:tcPr>
                  <w:tcW w:w="1822" w:type="dxa"/>
                  <w:shd w:val="clear" w:color="auto" w:fill="C1E4F5" w:themeFill="accent1" w:themeFillTint="33"/>
                </w:tcPr>
                <w:p w14:paraId="7B5EC226" w14:textId="14271AD0" w:rsidR="00041574" w:rsidRPr="00DC2221" w:rsidRDefault="00041574" w:rsidP="00041574">
                  <w:pPr>
                    <w:spacing w:before="120" w:after="120"/>
                    <w:rPr>
                      <w:b/>
                      <w:bCs/>
                    </w:rPr>
                  </w:pPr>
                  <w:r w:rsidRPr="00DC2221">
                    <w:rPr>
                      <w:b/>
                      <w:bCs/>
                    </w:rPr>
                    <w:t>Connection Charge</w:t>
                  </w:r>
                </w:p>
              </w:tc>
            </w:tr>
            <w:tr w:rsidR="00041574" w14:paraId="6730535E" w14:textId="7D4B3538" w:rsidTr="00334336">
              <w:tc>
                <w:tcPr>
                  <w:tcW w:w="2578" w:type="dxa"/>
                </w:tcPr>
                <w:p w14:paraId="6B45398E" w14:textId="69EAABAC" w:rsidR="00041574" w:rsidRPr="00200DEA" w:rsidRDefault="00041574" w:rsidP="00041574">
                  <w:pPr>
                    <w:spacing w:before="120" w:after="120"/>
                    <w:rPr>
                      <w:b/>
                      <w:bCs/>
                    </w:rPr>
                  </w:pPr>
                  <w:r w:rsidRPr="00200DEA">
                    <w:rPr>
                      <w:b/>
                      <w:bCs/>
                    </w:rPr>
                    <w:t xml:space="preserve">BAINZ Fibre </w:t>
                  </w:r>
                  <w:r w:rsidR="00E238E7">
                    <w:rPr>
                      <w:b/>
                      <w:bCs/>
                    </w:rPr>
                    <w:t>92</w:t>
                  </w:r>
                  <w:r>
                    <w:rPr>
                      <w:b/>
                      <w:bCs/>
                    </w:rPr>
                    <w:t>0</w:t>
                  </w:r>
                </w:p>
              </w:tc>
              <w:tc>
                <w:tcPr>
                  <w:tcW w:w="1985" w:type="dxa"/>
                </w:tcPr>
                <w:p w14:paraId="59BDF36C" w14:textId="74606378" w:rsidR="00041574" w:rsidRDefault="00041574" w:rsidP="00041574">
                  <w:pPr>
                    <w:spacing w:before="120" w:after="120"/>
                  </w:pPr>
                  <w:r>
                    <w:t>$</w:t>
                  </w:r>
                  <w:r w:rsidR="00381EF1">
                    <w:t>96.00</w:t>
                  </w:r>
                  <w:r>
                    <w:t xml:space="preserve"> /monthly</w:t>
                  </w:r>
                </w:p>
              </w:tc>
              <w:tc>
                <w:tcPr>
                  <w:tcW w:w="1822" w:type="dxa"/>
                </w:tcPr>
                <w:p w14:paraId="4945AAA4" w14:textId="7FB18AEF" w:rsidR="00041574" w:rsidRDefault="00041574" w:rsidP="00041574">
                  <w:pPr>
                    <w:spacing w:before="120" w:after="120"/>
                  </w:pPr>
                  <w:r>
                    <w:t>$</w:t>
                  </w:r>
                  <w:r w:rsidR="00832323">
                    <w:t>7</w:t>
                  </w:r>
                  <w:r w:rsidR="00D87335">
                    <w:t>.00</w:t>
                  </w:r>
                </w:p>
              </w:tc>
            </w:tr>
          </w:tbl>
          <w:p w14:paraId="0E56E0A3" w14:textId="0BD78AD1" w:rsidR="00041574" w:rsidRPr="006600E5" w:rsidRDefault="00041574" w:rsidP="00041574">
            <w:pPr>
              <w:spacing w:before="120" w:after="120"/>
            </w:pPr>
          </w:p>
        </w:tc>
      </w:tr>
      <w:tr w:rsidR="00515B2F" w14:paraId="6BDBAD75" w14:textId="77777777" w:rsidTr="006600E5">
        <w:tc>
          <w:tcPr>
            <w:tcW w:w="2405" w:type="dxa"/>
            <w:shd w:val="clear" w:color="auto" w:fill="C1E4F5" w:themeFill="accent1" w:themeFillTint="33"/>
          </w:tcPr>
          <w:p w14:paraId="0AA42609" w14:textId="3842384D" w:rsidR="00515B2F" w:rsidRDefault="00515B2F" w:rsidP="00515B2F">
            <w:pPr>
              <w:spacing w:before="120" w:after="120"/>
              <w:rPr>
                <w:b/>
                <w:bCs/>
              </w:rPr>
            </w:pPr>
            <w:r>
              <w:rPr>
                <w:b/>
                <w:bCs/>
              </w:rPr>
              <w:t>Recurring Charges</w:t>
            </w:r>
          </w:p>
        </w:tc>
        <w:tc>
          <w:tcPr>
            <w:tcW w:w="6611" w:type="dxa"/>
          </w:tcPr>
          <w:p w14:paraId="5653E742" w14:textId="5F76B986" w:rsidR="00515B2F" w:rsidRDefault="00515B2F" w:rsidP="00515B2F">
            <w:pPr>
              <w:spacing w:before="120" w:after="120"/>
            </w:pPr>
            <w:r>
              <w:t>This charge is applied on a Billing Cycle and occurs each month according to you monthly bill due date for your service.</w:t>
            </w:r>
          </w:p>
        </w:tc>
      </w:tr>
      <w:tr w:rsidR="004179DB" w14:paraId="3DDB8C0A" w14:textId="77777777" w:rsidTr="006600E5">
        <w:tc>
          <w:tcPr>
            <w:tcW w:w="2405" w:type="dxa"/>
            <w:shd w:val="clear" w:color="auto" w:fill="C1E4F5" w:themeFill="accent1" w:themeFillTint="33"/>
          </w:tcPr>
          <w:p w14:paraId="544CF9E3" w14:textId="0F49127B" w:rsidR="004179DB" w:rsidRDefault="004179DB" w:rsidP="004179DB">
            <w:pPr>
              <w:spacing w:before="120" w:after="120"/>
              <w:rPr>
                <w:b/>
                <w:bCs/>
              </w:rPr>
            </w:pPr>
            <w:r>
              <w:rPr>
                <w:b/>
                <w:bCs/>
              </w:rPr>
              <w:lastRenderedPageBreak/>
              <w:t>Connection Charges</w:t>
            </w:r>
          </w:p>
        </w:tc>
        <w:tc>
          <w:tcPr>
            <w:tcW w:w="6611" w:type="dxa"/>
          </w:tcPr>
          <w:p w14:paraId="281B6417" w14:textId="746AFA53" w:rsidR="004179DB" w:rsidRDefault="004179DB" w:rsidP="004179DB">
            <w:pPr>
              <w:spacing w:before="120" w:after="120"/>
            </w:pPr>
            <w:r w:rsidRPr="00FF32BE">
              <w:t>A one-time connection charge</w:t>
            </w:r>
            <w:r>
              <w:t xml:space="preserve"> that</w:t>
            </w:r>
            <w:r w:rsidRPr="00FF32BE">
              <w:t xml:space="preserve"> covers the cost of setting up</w:t>
            </w:r>
            <w:r>
              <w:t xml:space="preserve"> &amp; terminating</w:t>
            </w:r>
            <w:r w:rsidRPr="00FF32BE">
              <w:t xml:space="preserve"> your service. This fee applies when your connection is first established</w:t>
            </w:r>
            <w:r>
              <w:t xml:space="preserve"> or</w:t>
            </w:r>
            <w:r w:rsidRPr="00FF32BE">
              <w:t xml:space="preserve"> reconnected </w:t>
            </w:r>
            <w:r>
              <w:t>(</w:t>
            </w:r>
            <w:r w:rsidRPr="00FF32BE">
              <w:t xml:space="preserve">after </w:t>
            </w:r>
            <w:r>
              <w:t xml:space="preserve">your previous service was terminated). </w:t>
            </w:r>
          </w:p>
        </w:tc>
      </w:tr>
      <w:tr w:rsidR="004179DB" w14:paraId="72186A5E" w14:textId="77777777" w:rsidTr="006600E5">
        <w:tc>
          <w:tcPr>
            <w:tcW w:w="2405" w:type="dxa"/>
            <w:shd w:val="clear" w:color="auto" w:fill="C1E4F5" w:themeFill="accent1" w:themeFillTint="33"/>
          </w:tcPr>
          <w:p w14:paraId="23D58FA1" w14:textId="407BBA66" w:rsidR="004179DB" w:rsidRDefault="004179DB" w:rsidP="004179DB">
            <w:pPr>
              <w:spacing w:before="120" w:after="120"/>
              <w:rPr>
                <w:b/>
                <w:bCs/>
              </w:rPr>
            </w:pPr>
            <w:r>
              <w:rPr>
                <w:b/>
                <w:bCs/>
              </w:rPr>
              <w:t>Charge Start Date</w:t>
            </w:r>
          </w:p>
        </w:tc>
        <w:tc>
          <w:tcPr>
            <w:tcW w:w="6611" w:type="dxa"/>
          </w:tcPr>
          <w:p w14:paraId="52F3E802" w14:textId="65AAB1D2" w:rsidR="004179DB" w:rsidRPr="00FF32BE" w:rsidRDefault="004179DB" w:rsidP="004179DB">
            <w:pPr>
              <w:spacing w:before="120" w:after="120"/>
            </w:pPr>
            <w:r>
              <w:t>For this open plan service, the charge for the service is applied upon service activation and will then occur on a monthly recurring basis.</w:t>
            </w:r>
          </w:p>
        </w:tc>
      </w:tr>
      <w:tr w:rsidR="004179DB" w14:paraId="394AEC41" w14:textId="77777777" w:rsidTr="006600E5">
        <w:tc>
          <w:tcPr>
            <w:tcW w:w="2405" w:type="dxa"/>
            <w:shd w:val="clear" w:color="auto" w:fill="C1E4F5" w:themeFill="accent1" w:themeFillTint="33"/>
          </w:tcPr>
          <w:p w14:paraId="1FD78318" w14:textId="208B6381" w:rsidR="004179DB" w:rsidRDefault="004179DB" w:rsidP="004179DB">
            <w:pPr>
              <w:spacing w:before="120" w:after="120"/>
              <w:rPr>
                <w:b/>
                <w:bCs/>
              </w:rPr>
            </w:pPr>
            <w:r>
              <w:rPr>
                <w:b/>
                <w:bCs/>
              </w:rPr>
              <w:t>Special Offers</w:t>
            </w:r>
          </w:p>
        </w:tc>
        <w:tc>
          <w:tcPr>
            <w:tcW w:w="6611" w:type="dxa"/>
          </w:tcPr>
          <w:p w14:paraId="29CD0524" w14:textId="2A7D39E0" w:rsidR="004179DB" w:rsidRDefault="004179DB" w:rsidP="004179DB">
            <w:pPr>
              <w:spacing w:before="120" w:after="120"/>
            </w:pPr>
            <w:r w:rsidRPr="007B4336">
              <w:t xml:space="preserve">Occasionally, we may provide special offers on our Recurring Charges, Connection Charges, </w:t>
            </w:r>
            <w:r>
              <w:t>and/or</w:t>
            </w:r>
            <w:r w:rsidRPr="007B4336">
              <w:t xml:space="preserve"> Wi-Fi </w:t>
            </w:r>
            <w:r>
              <w:t>router Costs</w:t>
            </w:r>
            <w:r w:rsidRPr="007B4336">
              <w:t>. These promotions are available for a limited time and are intended for promotional purposes.</w:t>
            </w:r>
          </w:p>
        </w:tc>
      </w:tr>
      <w:tr w:rsidR="004179DB" w14:paraId="51079C53" w14:textId="77777777" w:rsidTr="006600E5">
        <w:tc>
          <w:tcPr>
            <w:tcW w:w="2405" w:type="dxa"/>
            <w:shd w:val="clear" w:color="auto" w:fill="C1E4F5" w:themeFill="accent1" w:themeFillTint="33"/>
          </w:tcPr>
          <w:p w14:paraId="45388C40" w14:textId="0129EA7C" w:rsidR="004179DB" w:rsidRDefault="004179DB" w:rsidP="004179DB">
            <w:pPr>
              <w:spacing w:before="120" w:after="120"/>
              <w:rPr>
                <w:b/>
                <w:bCs/>
              </w:rPr>
            </w:pPr>
            <w:r>
              <w:rPr>
                <w:b/>
                <w:bCs/>
              </w:rPr>
              <w:t>Notice of Service Termination</w:t>
            </w:r>
          </w:p>
        </w:tc>
        <w:tc>
          <w:tcPr>
            <w:tcW w:w="6611" w:type="dxa"/>
          </w:tcPr>
          <w:p w14:paraId="25693AF5" w14:textId="426487F4" w:rsidR="004179DB" w:rsidRPr="00C90960" w:rsidRDefault="004179DB" w:rsidP="004179DB">
            <w:pPr>
              <w:spacing w:before="120" w:after="120"/>
            </w:pPr>
            <w:r>
              <w:t>T</w:t>
            </w:r>
            <w:r w:rsidRPr="0075573C">
              <w:t xml:space="preserve">o terminate your service, you must provide </w:t>
            </w:r>
            <w:r>
              <w:t xml:space="preserve">us with </w:t>
            </w:r>
            <w:r w:rsidRPr="0075573C">
              <w:t>at least</w:t>
            </w:r>
            <w:r>
              <w:t xml:space="preserve"> (minimum) of</w:t>
            </w:r>
            <w:r w:rsidRPr="0075573C">
              <w:t xml:space="preserve"> 3 days’ </w:t>
            </w:r>
            <w:r>
              <w:t xml:space="preserve">advance </w:t>
            </w:r>
            <w:r w:rsidRPr="0075573C">
              <w:t xml:space="preserve">notice before your </w:t>
            </w:r>
            <w:r>
              <w:t>R</w:t>
            </w:r>
            <w:r w:rsidRPr="0075573C">
              <w:t xml:space="preserve">ecurring </w:t>
            </w:r>
            <w:r>
              <w:t>C</w:t>
            </w:r>
            <w:r w:rsidRPr="0075573C">
              <w:t xml:space="preserve">harges are due for renewal. This </w:t>
            </w:r>
            <w:r>
              <w:t>allows us sufficient time to terminate your service before the next Billing Period is due to restart</w:t>
            </w:r>
            <w:r w:rsidRPr="0075573C">
              <w:t>.</w:t>
            </w:r>
          </w:p>
        </w:tc>
      </w:tr>
      <w:tr w:rsidR="004179DB" w14:paraId="542DAA3C" w14:textId="77777777" w:rsidTr="006600E5">
        <w:tc>
          <w:tcPr>
            <w:tcW w:w="2405" w:type="dxa"/>
            <w:shd w:val="clear" w:color="auto" w:fill="C1E4F5" w:themeFill="accent1" w:themeFillTint="33"/>
          </w:tcPr>
          <w:p w14:paraId="71A40BDC" w14:textId="355FC2A0" w:rsidR="004179DB" w:rsidRDefault="004179DB" w:rsidP="004179DB">
            <w:pPr>
              <w:spacing w:before="120" w:after="120"/>
              <w:rPr>
                <w:b/>
                <w:bCs/>
              </w:rPr>
            </w:pPr>
            <w:r>
              <w:rPr>
                <w:b/>
                <w:bCs/>
              </w:rPr>
              <w:t>Refund on Termination</w:t>
            </w:r>
          </w:p>
        </w:tc>
        <w:tc>
          <w:tcPr>
            <w:tcW w:w="6611" w:type="dxa"/>
          </w:tcPr>
          <w:p w14:paraId="3D67DA47" w14:textId="0550BBF2" w:rsidR="004179DB" w:rsidRDefault="004179DB" w:rsidP="004179DB">
            <w:pPr>
              <w:spacing w:before="120" w:after="120"/>
            </w:pPr>
            <w:r>
              <w:t>W</w:t>
            </w:r>
            <w:r w:rsidRPr="0075573C">
              <w:t xml:space="preserve">e cannot provide a refund if the </w:t>
            </w:r>
            <w:r>
              <w:t>Notice of Service Termination</w:t>
            </w:r>
            <w:r w:rsidRPr="0075573C">
              <w:t xml:space="preserve"> occurs after the monthly </w:t>
            </w:r>
            <w:r>
              <w:t>Billing Period</w:t>
            </w:r>
            <w:r w:rsidRPr="0075573C">
              <w:t xml:space="preserve"> has started, unless we have given written</w:t>
            </w:r>
            <w:r>
              <w:t xml:space="preserve"> or email</w:t>
            </w:r>
            <w:r w:rsidRPr="0075573C">
              <w:t xml:space="preserve"> confirmation.</w:t>
            </w:r>
            <w:r>
              <w:t xml:space="preserve"> </w:t>
            </w:r>
            <w:r w:rsidRPr="00713C7A">
              <w:t xml:space="preserve">Any refund will be prorated based on the actual service termination date </w:t>
            </w:r>
            <w:r>
              <w:t xml:space="preserve">agreed </w:t>
            </w:r>
            <w:r w:rsidRPr="00713C7A">
              <w:t xml:space="preserve">by </w:t>
            </w:r>
            <w:r>
              <w:t>our</w:t>
            </w:r>
            <w:r w:rsidRPr="00713C7A">
              <w:t xml:space="preserve"> fibre access service provider.</w:t>
            </w:r>
          </w:p>
        </w:tc>
      </w:tr>
      <w:tr w:rsidR="004179DB" w14:paraId="04D85174" w14:textId="77777777" w:rsidTr="006600E5">
        <w:tc>
          <w:tcPr>
            <w:tcW w:w="2405" w:type="dxa"/>
            <w:shd w:val="clear" w:color="auto" w:fill="C1E4F5" w:themeFill="accent1" w:themeFillTint="33"/>
          </w:tcPr>
          <w:p w14:paraId="46336FD4" w14:textId="1D1A3576" w:rsidR="004179DB" w:rsidRDefault="004179DB" w:rsidP="004179DB">
            <w:pPr>
              <w:spacing w:before="120" w:after="120"/>
              <w:rPr>
                <w:b/>
                <w:bCs/>
              </w:rPr>
            </w:pPr>
            <w:r>
              <w:rPr>
                <w:b/>
                <w:bCs/>
              </w:rPr>
              <w:t>Suspension of Service</w:t>
            </w:r>
          </w:p>
        </w:tc>
        <w:tc>
          <w:tcPr>
            <w:tcW w:w="6611" w:type="dxa"/>
          </w:tcPr>
          <w:p w14:paraId="3E5603B0" w14:textId="1DB5651B" w:rsidR="004179DB" w:rsidRPr="00FF32BE" w:rsidRDefault="004179DB" w:rsidP="004179DB">
            <w:pPr>
              <w:spacing w:before="120" w:after="120"/>
            </w:pPr>
            <w:r w:rsidRPr="00C90960">
              <w:t xml:space="preserve">If a payment is overdue by </w:t>
            </w:r>
            <w:r>
              <w:t>5</w:t>
            </w:r>
            <w:r w:rsidRPr="00C90960">
              <w:t xml:space="preserve"> days, your service will be suspended</w:t>
            </w:r>
            <w:r>
              <w:t xml:space="preserve"> (blocked)</w:t>
            </w:r>
            <w:r w:rsidRPr="00C90960">
              <w:t xml:space="preserve">. No </w:t>
            </w:r>
            <w:r>
              <w:t>C</w:t>
            </w:r>
            <w:r w:rsidRPr="00C90960">
              <w:t xml:space="preserve">onnection </w:t>
            </w:r>
            <w:r>
              <w:t>C</w:t>
            </w:r>
            <w:r w:rsidRPr="00C90960">
              <w:t xml:space="preserve">harges will apply if the service is </w:t>
            </w:r>
            <w:r>
              <w:t>resumed from being suspended</w:t>
            </w:r>
            <w:r w:rsidRPr="00C90960">
              <w:t>.</w:t>
            </w:r>
          </w:p>
        </w:tc>
      </w:tr>
      <w:tr w:rsidR="004179DB" w14:paraId="50988D9A" w14:textId="77777777" w:rsidTr="006600E5">
        <w:tc>
          <w:tcPr>
            <w:tcW w:w="2405" w:type="dxa"/>
            <w:shd w:val="clear" w:color="auto" w:fill="C1E4F5" w:themeFill="accent1" w:themeFillTint="33"/>
          </w:tcPr>
          <w:p w14:paraId="31C12AC7" w14:textId="34EFBB73" w:rsidR="004179DB" w:rsidRDefault="004179DB" w:rsidP="004179DB">
            <w:pPr>
              <w:spacing w:before="120" w:after="120"/>
              <w:rPr>
                <w:b/>
                <w:bCs/>
              </w:rPr>
            </w:pPr>
            <w:r>
              <w:rPr>
                <w:b/>
                <w:bCs/>
              </w:rPr>
              <w:t>Billing Period</w:t>
            </w:r>
          </w:p>
        </w:tc>
        <w:tc>
          <w:tcPr>
            <w:tcW w:w="6611" w:type="dxa"/>
          </w:tcPr>
          <w:p w14:paraId="5A92E643" w14:textId="32E7B916" w:rsidR="004179DB" w:rsidRPr="00C90960" w:rsidRDefault="004179DB" w:rsidP="004179DB">
            <w:pPr>
              <w:spacing w:before="120" w:after="120"/>
            </w:pPr>
            <w:r w:rsidRPr="006564B0">
              <w:t xml:space="preserve">Our billing cycle runs </w:t>
            </w:r>
            <w:r>
              <w:t xml:space="preserve">on a rolling </w:t>
            </w:r>
            <w:r w:rsidRPr="006564B0">
              <w:t>monthly</w:t>
            </w:r>
            <w:r>
              <w:t xml:space="preserve"> basis</w:t>
            </w:r>
            <w:r w:rsidRPr="006564B0">
              <w:t xml:space="preserve"> and typically starts on the same day of the month </w:t>
            </w:r>
            <w:r>
              <w:t xml:space="preserve">from when </w:t>
            </w:r>
            <w:r w:rsidRPr="006564B0">
              <w:t>your service was activated. This period can be adjusted based on customer preferences or if the renewal date falls on a non-existent date in the following month (e.g., if your service was activated on September 31st)</w:t>
            </w:r>
            <w:r>
              <w:t xml:space="preserve"> -</w:t>
            </w:r>
            <w:r w:rsidRPr="006564B0">
              <w:t xml:space="preserve"> </w:t>
            </w:r>
            <w:r>
              <w:t>i</w:t>
            </w:r>
            <w:r w:rsidRPr="006564B0">
              <w:t xml:space="preserve">n such cases, the renewal date will be adjusted to the end of </w:t>
            </w:r>
            <w:r>
              <w:t>the</w:t>
            </w:r>
            <w:r w:rsidRPr="006564B0">
              <w:t xml:space="preserve"> month or to the 28th </w:t>
            </w:r>
            <w:r>
              <w:t>day of the month</w:t>
            </w:r>
            <w:r w:rsidRPr="006564B0">
              <w:t>.</w:t>
            </w:r>
          </w:p>
        </w:tc>
      </w:tr>
      <w:tr w:rsidR="00516234" w14:paraId="0739D3E0" w14:textId="77777777" w:rsidTr="006600E5">
        <w:tc>
          <w:tcPr>
            <w:tcW w:w="2405" w:type="dxa"/>
            <w:shd w:val="clear" w:color="auto" w:fill="C1E4F5" w:themeFill="accent1" w:themeFillTint="33"/>
          </w:tcPr>
          <w:p w14:paraId="0D294A77" w14:textId="054AEE51" w:rsidR="00516234" w:rsidRDefault="00516234" w:rsidP="00516234">
            <w:pPr>
              <w:spacing w:before="120" w:after="120"/>
              <w:rPr>
                <w:b/>
                <w:bCs/>
              </w:rPr>
            </w:pPr>
            <w:r>
              <w:rPr>
                <w:b/>
                <w:bCs/>
              </w:rPr>
              <w:t>Termination of Service due to Unpaid Charges</w:t>
            </w:r>
          </w:p>
        </w:tc>
        <w:tc>
          <w:tcPr>
            <w:tcW w:w="6611" w:type="dxa"/>
          </w:tcPr>
          <w:p w14:paraId="041A7CFE" w14:textId="5C4C0351" w:rsidR="00516234" w:rsidRDefault="00CD1DED" w:rsidP="00516234">
            <w:pPr>
              <w:spacing w:before="120" w:after="120"/>
            </w:pPr>
            <w:r>
              <w:t xml:space="preserve">Following </w:t>
            </w:r>
            <w:r w:rsidR="0010274A">
              <w:t>the S</w:t>
            </w:r>
            <w:r>
              <w:t xml:space="preserve">uspension of </w:t>
            </w:r>
            <w:r w:rsidR="0010274A">
              <w:t>S</w:t>
            </w:r>
            <w:r>
              <w:t>ervice, i</w:t>
            </w:r>
            <w:r w:rsidR="00516234" w:rsidRPr="00C90960">
              <w:t>f</w:t>
            </w:r>
            <w:r w:rsidR="000C176C">
              <w:t xml:space="preserve"> your</w:t>
            </w:r>
            <w:r w:rsidR="00516234" w:rsidRPr="00C90960">
              <w:t xml:space="preserve"> recurring payment is </w:t>
            </w:r>
            <w:r w:rsidR="000C176C">
              <w:t>overdue</w:t>
            </w:r>
            <w:r w:rsidR="00FC6D95">
              <w:t xml:space="preserve"> </w:t>
            </w:r>
            <w:r w:rsidR="00516234" w:rsidRPr="00C90960">
              <w:t xml:space="preserve">by </w:t>
            </w:r>
            <w:r w:rsidR="00FC6D95">
              <w:t xml:space="preserve">another </w:t>
            </w:r>
            <w:r w:rsidR="00516234">
              <w:t>2</w:t>
            </w:r>
            <w:r w:rsidR="00516234" w:rsidRPr="00C90960">
              <w:t xml:space="preserve"> days</w:t>
            </w:r>
            <w:r w:rsidR="00C4324F">
              <w:t xml:space="preserve">. </w:t>
            </w:r>
            <w:r w:rsidR="00516234" w:rsidRPr="00C90960">
              <w:t xml:space="preserve"> your service will be </w:t>
            </w:r>
            <w:r w:rsidR="00BA59E1">
              <w:t>T</w:t>
            </w:r>
            <w:r w:rsidR="00516234" w:rsidRPr="00C90960">
              <w:t xml:space="preserve">erminated. To reconnect after </w:t>
            </w:r>
            <w:r w:rsidR="00BA59E1">
              <w:t>T</w:t>
            </w:r>
            <w:r w:rsidR="00516234" w:rsidRPr="00C90960">
              <w:t>ermination, a</w:t>
            </w:r>
            <w:r w:rsidR="00BA59E1">
              <w:t xml:space="preserve"> new service will need to be setup and</w:t>
            </w:r>
            <w:r w:rsidR="00516234" w:rsidRPr="00C90960">
              <w:t xml:space="preserve"> </w:t>
            </w:r>
            <w:r w:rsidR="001E6B1C">
              <w:t>standard Service Charges</w:t>
            </w:r>
            <w:r w:rsidR="00516234" w:rsidRPr="00C90960">
              <w:t xml:space="preserve"> will apply</w:t>
            </w:r>
            <w:r w:rsidR="00516234">
              <w:t xml:space="preserve"> to reconnect your service</w:t>
            </w:r>
            <w:r w:rsidR="00516234" w:rsidRPr="00C90960">
              <w:t>.</w:t>
            </w:r>
          </w:p>
        </w:tc>
      </w:tr>
      <w:tr w:rsidR="00516234" w14:paraId="7F2D91D4" w14:textId="77777777" w:rsidTr="006600E5">
        <w:tc>
          <w:tcPr>
            <w:tcW w:w="2405" w:type="dxa"/>
            <w:shd w:val="clear" w:color="auto" w:fill="C1E4F5" w:themeFill="accent1" w:themeFillTint="33"/>
          </w:tcPr>
          <w:p w14:paraId="3915D724" w14:textId="60C606A7" w:rsidR="00516234" w:rsidRDefault="00516234" w:rsidP="00516234">
            <w:pPr>
              <w:spacing w:before="120" w:after="120"/>
              <w:rPr>
                <w:b/>
                <w:bCs/>
              </w:rPr>
            </w:pPr>
            <w:r>
              <w:rPr>
                <w:b/>
                <w:bCs/>
              </w:rPr>
              <w:t>Standard Service Restoration Service Levels Agreement (Restoration SLA)</w:t>
            </w:r>
          </w:p>
        </w:tc>
        <w:tc>
          <w:tcPr>
            <w:tcW w:w="6611" w:type="dxa"/>
          </w:tcPr>
          <w:p w14:paraId="15EB4E75" w14:textId="657DA2EE" w:rsidR="00516234" w:rsidRPr="00C90960" w:rsidRDefault="00516234" w:rsidP="00516234">
            <w:pPr>
              <w:spacing w:before="120" w:after="120"/>
            </w:pPr>
            <w:r>
              <w:t xml:space="preserve">We operate our services in alignment with the Consumer Restoration Service Level Agreement we have with our fibre access providers. In the event of a service outage, we aim to have </w:t>
            </w:r>
            <w:r>
              <w:lastRenderedPageBreak/>
              <w:t>the service restored by the end of the day following the day on which the service outage is reported to us.</w:t>
            </w:r>
          </w:p>
        </w:tc>
      </w:tr>
      <w:tr w:rsidR="00516234" w14:paraId="57EB36DB" w14:textId="77777777" w:rsidTr="006600E5">
        <w:tc>
          <w:tcPr>
            <w:tcW w:w="2405" w:type="dxa"/>
            <w:shd w:val="clear" w:color="auto" w:fill="C1E4F5" w:themeFill="accent1" w:themeFillTint="33"/>
          </w:tcPr>
          <w:p w14:paraId="24205C48" w14:textId="252F5654" w:rsidR="00516234" w:rsidRDefault="00516234" w:rsidP="00516234">
            <w:pPr>
              <w:spacing w:before="120" w:after="120"/>
              <w:rPr>
                <w:b/>
                <w:bCs/>
              </w:rPr>
            </w:pPr>
            <w:r>
              <w:rPr>
                <w:b/>
                <w:bCs/>
              </w:rPr>
              <w:lastRenderedPageBreak/>
              <w:t>Pilot Services</w:t>
            </w:r>
          </w:p>
        </w:tc>
        <w:tc>
          <w:tcPr>
            <w:tcW w:w="6611" w:type="dxa"/>
          </w:tcPr>
          <w:p w14:paraId="0881000A" w14:textId="28FB6088" w:rsidR="00516234" w:rsidRPr="00C90960" w:rsidRDefault="00516234" w:rsidP="00516234">
            <w:pPr>
              <w:spacing w:before="120" w:after="120"/>
            </w:pPr>
            <w:r>
              <w:t>Our services are being offered as a pilot service from 15 November 20204 to 31 January 2025. During this pilot service period we aim to restore our services in alignment with our Restoration SLA. If we fail to meet this restoration window, customers have the right to receive a refund on their services that they did not use and can move their services to an alternative Service Provider with no early termination conditions being applied.</w:t>
            </w:r>
          </w:p>
        </w:tc>
      </w:tr>
      <w:tr w:rsidR="00516234" w14:paraId="491C1418" w14:textId="77777777" w:rsidTr="006600E5">
        <w:tc>
          <w:tcPr>
            <w:tcW w:w="2405" w:type="dxa"/>
            <w:shd w:val="clear" w:color="auto" w:fill="C1E4F5" w:themeFill="accent1" w:themeFillTint="33"/>
          </w:tcPr>
          <w:p w14:paraId="7108FE5B" w14:textId="55BC2FB9" w:rsidR="00516234" w:rsidRDefault="00516234" w:rsidP="00516234">
            <w:pPr>
              <w:spacing w:before="120" w:after="120"/>
              <w:rPr>
                <w:b/>
                <w:bCs/>
              </w:rPr>
            </w:pPr>
            <w:r>
              <w:rPr>
                <w:b/>
                <w:bCs/>
              </w:rPr>
              <w:t>Unlimited Download</w:t>
            </w:r>
          </w:p>
        </w:tc>
        <w:tc>
          <w:tcPr>
            <w:tcW w:w="6611" w:type="dxa"/>
          </w:tcPr>
          <w:p w14:paraId="0112CBAB" w14:textId="2A7C8C5B" w:rsidR="00516234" w:rsidRDefault="00516234" w:rsidP="00516234">
            <w:pPr>
              <w:spacing w:before="120" w:after="120"/>
            </w:pPr>
            <w:r>
              <w:t>Although we do not block user’s ability to download internet content whilst they are paid customers, we do operate a fair usage policy based on our Data Allowance limits.  This means that if you are excessively overusing our services, we will throttle your services at certain times of the day.</w:t>
            </w:r>
          </w:p>
        </w:tc>
      </w:tr>
      <w:tr w:rsidR="00516234" w14:paraId="006BEEC2" w14:textId="77777777" w:rsidTr="006600E5">
        <w:tc>
          <w:tcPr>
            <w:tcW w:w="2405" w:type="dxa"/>
            <w:shd w:val="clear" w:color="auto" w:fill="C1E4F5" w:themeFill="accent1" w:themeFillTint="33"/>
          </w:tcPr>
          <w:p w14:paraId="3230F2E2" w14:textId="0CAE1EA9" w:rsidR="00516234" w:rsidRDefault="00516234" w:rsidP="00516234">
            <w:pPr>
              <w:spacing w:before="120" w:after="120"/>
              <w:rPr>
                <w:b/>
                <w:bCs/>
              </w:rPr>
            </w:pPr>
            <w:r>
              <w:rPr>
                <w:b/>
                <w:bCs/>
              </w:rPr>
              <w:t>Data Allowance</w:t>
            </w:r>
          </w:p>
        </w:tc>
        <w:tc>
          <w:tcPr>
            <w:tcW w:w="6611" w:type="dxa"/>
          </w:tcPr>
          <w:p w14:paraId="6505F882" w14:textId="60B16888" w:rsidR="00516234" w:rsidRDefault="00516234" w:rsidP="00516234">
            <w:pPr>
              <w:spacing w:before="120" w:after="120"/>
            </w:pPr>
            <w:r w:rsidRPr="006564B0">
              <w:t>Our services are designed to provide</w:t>
            </w:r>
            <w:r>
              <w:t xml:space="preserve"> you with</w:t>
            </w:r>
            <w:r w:rsidRPr="006564B0">
              <w:t xml:space="preserve"> the best value, ensuring all our customers can enjoy quality and affordable fibre broadband services. This is only possible if our services are based on </w:t>
            </w:r>
            <w:r>
              <w:t>a fair usage policy based on</w:t>
            </w:r>
            <w:r w:rsidRPr="006564B0">
              <w:t xml:space="preserve"> </w:t>
            </w:r>
            <w:r>
              <w:t xml:space="preserve">reasonable </w:t>
            </w:r>
            <w:r w:rsidRPr="006564B0">
              <w:t xml:space="preserve">download limit. </w:t>
            </w:r>
            <w:r w:rsidRPr="00CD6A63">
              <w:t xml:space="preserve">This download data allowance </w:t>
            </w:r>
            <w:r>
              <w:t xml:space="preserve">for this service </w:t>
            </w:r>
            <w:r w:rsidRPr="00CD6A63">
              <w:t xml:space="preserve">is set </w:t>
            </w:r>
            <w:r>
              <w:t>as:</w:t>
            </w:r>
          </w:p>
          <w:tbl>
            <w:tblPr>
              <w:tblStyle w:val="TableGrid"/>
              <w:tblW w:w="6385" w:type="dxa"/>
              <w:tblLook w:val="04A0" w:firstRow="1" w:lastRow="0" w:firstColumn="1" w:lastColumn="0" w:noHBand="0" w:noVBand="1"/>
            </w:tblPr>
            <w:tblGrid>
              <w:gridCol w:w="1870"/>
              <w:gridCol w:w="1842"/>
              <w:gridCol w:w="2673"/>
            </w:tblGrid>
            <w:tr w:rsidR="00516234" w14:paraId="0AE57515" w14:textId="77777777" w:rsidTr="00DC2221">
              <w:tc>
                <w:tcPr>
                  <w:tcW w:w="1870" w:type="dxa"/>
                  <w:shd w:val="clear" w:color="auto" w:fill="C1E4F5" w:themeFill="accent1" w:themeFillTint="33"/>
                </w:tcPr>
                <w:p w14:paraId="243E80D8" w14:textId="7EA31B9E" w:rsidR="00516234" w:rsidRPr="00DC2221" w:rsidRDefault="00516234" w:rsidP="00516234">
                  <w:pPr>
                    <w:spacing w:before="120" w:after="120"/>
                    <w:rPr>
                      <w:b/>
                      <w:bCs/>
                    </w:rPr>
                  </w:pPr>
                  <w:r w:rsidRPr="00DC2221">
                    <w:rPr>
                      <w:b/>
                      <w:bCs/>
                    </w:rPr>
                    <w:t>Plan Name</w:t>
                  </w:r>
                </w:p>
              </w:tc>
              <w:tc>
                <w:tcPr>
                  <w:tcW w:w="1842" w:type="dxa"/>
                  <w:shd w:val="clear" w:color="auto" w:fill="C1E4F5" w:themeFill="accent1" w:themeFillTint="33"/>
                </w:tcPr>
                <w:p w14:paraId="7270FCDA" w14:textId="01C4B46A" w:rsidR="00516234" w:rsidRPr="00DC2221" w:rsidRDefault="00516234" w:rsidP="00516234">
                  <w:pPr>
                    <w:spacing w:before="120" w:after="120"/>
                    <w:rPr>
                      <w:b/>
                      <w:bCs/>
                    </w:rPr>
                  </w:pPr>
                  <w:r w:rsidRPr="00DC2221">
                    <w:rPr>
                      <w:b/>
                      <w:bCs/>
                    </w:rPr>
                    <w:t xml:space="preserve">Data Allowance </w:t>
                  </w:r>
                </w:p>
              </w:tc>
              <w:tc>
                <w:tcPr>
                  <w:tcW w:w="2673" w:type="dxa"/>
                  <w:shd w:val="clear" w:color="auto" w:fill="C1E4F5" w:themeFill="accent1" w:themeFillTint="33"/>
                </w:tcPr>
                <w:p w14:paraId="73A137C5" w14:textId="0DD21A48" w:rsidR="00516234" w:rsidRPr="00DC2221" w:rsidRDefault="00516234" w:rsidP="00516234">
                  <w:pPr>
                    <w:spacing w:before="120" w:after="120"/>
                    <w:rPr>
                      <w:b/>
                      <w:bCs/>
                    </w:rPr>
                  </w:pPr>
                  <w:r w:rsidRPr="00DC2221">
                    <w:rPr>
                      <w:b/>
                      <w:bCs/>
                    </w:rPr>
                    <w:t>Action if exceeded</w:t>
                  </w:r>
                </w:p>
              </w:tc>
            </w:tr>
            <w:tr w:rsidR="00516234" w14:paraId="48EAC52B" w14:textId="77777777" w:rsidTr="00DC2221">
              <w:tc>
                <w:tcPr>
                  <w:tcW w:w="1870" w:type="dxa"/>
                </w:tcPr>
                <w:p w14:paraId="48B39407" w14:textId="6F0F4487" w:rsidR="00516234" w:rsidRPr="00200DEA" w:rsidRDefault="00516234" w:rsidP="00516234">
                  <w:pPr>
                    <w:spacing w:before="120" w:after="120"/>
                    <w:rPr>
                      <w:b/>
                      <w:bCs/>
                    </w:rPr>
                  </w:pPr>
                  <w:r w:rsidRPr="00200DEA">
                    <w:rPr>
                      <w:b/>
                      <w:bCs/>
                    </w:rPr>
                    <w:t xml:space="preserve">BAINZ Fibre </w:t>
                  </w:r>
                  <w:r>
                    <w:rPr>
                      <w:b/>
                      <w:bCs/>
                    </w:rPr>
                    <w:t>920</w:t>
                  </w:r>
                </w:p>
              </w:tc>
              <w:tc>
                <w:tcPr>
                  <w:tcW w:w="1842" w:type="dxa"/>
                </w:tcPr>
                <w:p w14:paraId="47EA961C" w14:textId="7231257A" w:rsidR="00516234" w:rsidRDefault="00516234" w:rsidP="00516234">
                  <w:pPr>
                    <w:spacing w:before="120" w:after="120"/>
                  </w:pPr>
                  <w:r>
                    <w:t>800 GB/month</w:t>
                  </w:r>
                </w:p>
                <w:p w14:paraId="0D2D717B" w14:textId="56DC592D" w:rsidR="00516234" w:rsidRDefault="00516234" w:rsidP="00516234">
                  <w:pPr>
                    <w:spacing w:before="120" w:after="120"/>
                  </w:pPr>
                  <w:r>
                    <w:t>Download only</w:t>
                  </w:r>
                </w:p>
              </w:tc>
              <w:tc>
                <w:tcPr>
                  <w:tcW w:w="2673" w:type="dxa"/>
                </w:tcPr>
                <w:p w14:paraId="236731B5" w14:textId="1CE4074A" w:rsidR="00516234" w:rsidRDefault="00516234" w:rsidP="00516234">
                  <w:pPr>
                    <w:spacing w:before="120" w:after="120"/>
                  </w:pPr>
                  <w:r>
                    <w:t>Throttle throughput speeds during Busy Hours.</w:t>
                  </w:r>
                </w:p>
              </w:tc>
            </w:tr>
          </w:tbl>
          <w:p w14:paraId="1AE28DF0" w14:textId="61A0E72D" w:rsidR="00516234" w:rsidRDefault="00516234" w:rsidP="00516234">
            <w:pPr>
              <w:spacing w:before="120" w:after="120"/>
            </w:pPr>
          </w:p>
        </w:tc>
      </w:tr>
      <w:tr w:rsidR="00516234" w14:paraId="1F949EA1" w14:textId="77777777" w:rsidTr="006600E5">
        <w:tc>
          <w:tcPr>
            <w:tcW w:w="2405" w:type="dxa"/>
            <w:shd w:val="clear" w:color="auto" w:fill="C1E4F5" w:themeFill="accent1" w:themeFillTint="33"/>
          </w:tcPr>
          <w:p w14:paraId="0716B2BA" w14:textId="7770DCC9" w:rsidR="00516234" w:rsidRDefault="00516234" w:rsidP="00516234">
            <w:pPr>
              <w:spacing w:before="120" w:after="120"/>
              <w:rPr>
                <w:b/>
                <w:bCs/>
              </w:rPr>
            </w:pPr>
            <w:r>
              <w:rPr>
                <w:b/>
                <w:bCs/>
              </w:rPr>
              <w:t>Excessive the Data Usage</w:t>
            </w:r>
          </w:p>
        </w:tc>
        <w:tc>
          <w:tcPr>
            <w:tcW w:w="6611" w:type="dxa"/>
          </w:tcPr>
          <w:p w14:paraId="0CD341EB" w14:textId="09DBBF42" w:rsidR="00516234" w:rsidRDefault="00516234" w:rsidP="00516234">
            <w:pPr>
              <w:spacing w:before="120" w:after="120"/>
            </w:pPr>
            <w:r w:rsidRPr="006564B0">
              <w:t>If</w:t>
            </w:r>
            <w:r>
              <w:t xml:space="preserve"> you</w:t>
            </w:r>
            <w:r w:rsidRPr="006564B0">
              <w:t xml:space="preserve"> exceed the Data Allowance, we will </w:t>
            </w:r>
            <w:r>
              <w:t xml:space="preserve">apply </w:t>
            </w:r>
            <w:r w:rsidRPr="006564B0">
              <w:t>throttl</w:t>
            </w:r>
            <w:r>
              <w:t>ing</w:t>
            </w:r>
            <w:r w:rsidRPr="006564B0">
              <w:t xml:space="preserve"> </w:t>
            </w:r>
            <w:r>
              <w:t>to your</w:t>
            </w:r>
            <w:r w:rsidRPr="006564B0">
              <w:t xml:space="preserve"> services </w:t>
            </w:r>
            <w:r>
              <w:t xml:space="preserve">speeds </w:t>
            </w:r>
            <w:r w:rsidRPr="006564B0">
              <w:t xml:space="preserve">during busy hours </w:t>
            </w:r>
            <w:r>
              <w:t>to</w:t>
            </w:r>
            <w:r w:rsidRPr="006564B0">
              <w:t xml:space="preserve"> maintain quality and affordable services for all customers. If you continue to significantly exceed the Data Allowance or your usage negatively impacts our </w:t>
            </w:r>
            <w:r>
              <w:t xml:space="preserve">network or </w:t>
            </w:r>
            <w:r w:rsidRPr="006564B0">
              <w:t>service performance, we will notify you. Continued excessive usage may result in the disconnection</w:t>
            </w:r>
            <w:r>
              <w:t xml:space="preserve"> and termination</w:t>
            </w:r>
            <w:r w:rsidRPr="006564B0">
              <w:t xml:space="preserve"> of your services.</w:t>
            </w:r>
          </w:p>
        </w:tc>
      </w:tr>
      <w:tr w:rsidR="00516234" w14:paraId="65D7DCEF" w14:textId="77777777" w:rsidTr="006600E5">
        <w:tc>
          <w:tcPr>
            <w:tcW w:w="2405" w:type="dxa"/>
            <w:shd w:val="clear" w:color="auto" w:fill="C1E4F5" w:themeFill="accent1" w:themeFillTint="33"/>
          </w:tcPr>
          <w:p w14:paraId="542AC8D0" w14:textId="7719DFC1" w:rsidR="00516234" w:rsidRDefault="00516234" w:rsidP="00516234">
            <w:pPr>
              <w:spacing w:before="120" w:after="120"/>
              <w:rPr>
                <w:b/>
                <w:bCs/>
              </w:rPr>
            </w:pPr>
            <w:r>
              <w:rPr>
                <w:b/>
                <w:bCs/>
              </w:rPr>
              <w:t>Unreasonable Service Usage</w:t>
            </w:r>
          </w:p>
        </w:tc>
        <w:tc>
          <w:tcPr>
            <w:tcW w:w="6611" w:type="dxa"/>
          </w:tcPr>
          <w:p w14:paraId="0866ABC2" w14:textId="5C63569D" w:rsidR="00516234" w:rsidRPr="006564B0" w:rsidRDefault="00516234" w:rsidP="00516234">
            <w:pPr>
              <w:spacing w:before="120" w:after="120"/>
            </w:pPr>
            <w:r>
              <w:t>I</w:t>
            </w:r>
            <w:r w:rsidRPr="00DC20B6">
              <w:t xml:space="preserve">f we determine that you are excessively overloading our network, </w:t>
            </w:r>
            <w:r>
              <w:t xml:space="preserve">that may </w:t>
            </w:r>
            <w:r w:rsidRPr="00DC20B6">
              <w:t>caus</w:t>
            </w:r>
            <w:r>
              <w:t>e</w:t>
            </w:r>
            <w:r w:rsidRPr="00DC20B6">
              <w:t xml:space="preserve"> significant cost impacts</w:t>
            </w:r>
            <w:r>
              <w:t>,</w:t>
            </w:r>
            <w:r w:rsidRPr="00DC20B6">
              <w:t xml:space="preserve"> affecting </w:t>
            </w:r>
            <w:r>
              <w:t xml:space="preserve">service performance, or </w:t>
            </w:r>
            <w:r w:rsidRPr="00DC20B6">
              <w:t xml:space="preserve">other users during </w:t>
            </w:r>
            <w:r>
              <w:t>any time (</w:t>
            </w:r>
            <w:r w:rsidRPr="00DC20B6">
              <w:t xml:space="preserve">busy or </w:t>
            </w:r>
            <w:r>
              <w:t>other hours)</w:t>
            </w:r>
            <w:r w:rsidRPr="00DC20B6">
              <w:t xml:space="preserve">, we may throttle </w:t>
            </w:r>
            <w:r>
              <w:t xml:space="preserve">or terminate your </w:t>
            </w:r>
            <w:r w:rsidRPr="00DC20B6">
              <w:t>service</w:t>
            </w:r>
            <w:r>
              <w:t xml:space="preserve"> to protect the performance and integrity of our network</w:t>
            </w:r>
            <w:r w:rsidRPr="00DC20B6">
              <w:t xml:space="preserve">. </w:t>
            </w:r>
            <w:r>
              <w:t>Any</w:t>
            </w:r>
            <w:r w:rsidRPr="00DC20B6">
              <w:t xml:space="preserve"> throttling </w:t>
            </w:r>
            <w:r>
              <w:t>may</w:t>
            </w:r>
            <w:r w:rsidRPr="00DC20B6">
              <w:t xml:space="preserve"> occur during peak</w:t>
            </w:r>
            <w:r>
              <w:t>-hours or other times of the day</w:t>
            </w:r>
            <w:r w:rsidRPr="00DC20B6">
              <w:t xml:space="preserve"> based on daily or hourly usage rules.</w:t>
            </w:r>
          </w:p>
        </w:tc>
      </w:tr>
      <w:tr w:rsidR="00516234" w14:paraId="79ADB75C" w14:textId="77777777" w:rsidTr="006600E5">
        <w:tc>
          <w:tcPr>
            <w:tcW w:w="2405" w:type="dxa"/>
            <w:shd w:val="clear" w:color="auto" w:fill="C1E4F5" w:themeFill="accent1" w:themeFillTint="33"/>
          </w:tcPr>
          <w:p w14:paraId="4402B7BB" w14:textId="4264EB19" w:rsidR="00516234" w:rsidRDefault="00516234" w:rsidP="00516234">
            <w:pPr>
              <w:spacing w:before="120" w:after="120"/>
              <w:rPr>
                <w:b/>
                <w:bCs/>
              </w:rPr>
            </w:pPr>
            <w:r>
              <w:rPr>
                <w:b/>
                <w:bCs/>
              </w:rPr>
              <w:lastRenderedPageBreak/>
              <w:t>Internet Protocol (IP) Address Assignment</w:t>
            </w:r>
          </w:p>
        </w:tc>
        <w:tc>
          <w:tcPr>
            <w:tcW w:w="6611" w:type="dxa"/>
          </w:tcPr>
          <w:p w14:paraId="374F5647" w14:textId="4991E447" w:rsidR="00516234" w:rsidRPr="006564B0" w:rsidRDefault="00516234" w:rsidP="00516234">
            <w:pPr>
              <w:spacing w:before="120" w:after="120"/>
            </w:pPr>
            <w:r>
              <w:t xml:space="preserve">Each user will be assigned with a private IPv4 Address for their connection on our network. By default, this private IP Address is dynamically assigned by our network to your home router or devices. This IP address will be dynamic and may </w:t>
            </w:r>
            <w:r w:rsidRPr="00CD6A63">
              <w:t>change</w:t>
            </w:r>
            <w:r>
              <w:t xml:space="preserve"> throughout the use of our service.</w:t>
            </w:r>
          </w:p>
        </w:tc>
      </w:tr>
      <w:tr w:rsidR="00516234" w14:paraId="4209A084" w14:textId="77777777" w:rsidTr="006600E5">
        <w:tc>
          <w:tcPr>
            <w:tcW w:w="2405" w:type="dxa"/>
            <w:shd w:val="clear" w:color="auto" w:fill="C1E4F5" w:themeFill="accent1" w:themeFillTint="33"/>
          </w:tcPr>
          <w:p w14:paraId="37E7EBF4" w14:textId="3EF2E69B" w:rsidR="00516234" w:rsidRDefault="00516234" w:rsidP="00516234">
            <w:pPr>
              <w:spacing w:before="120" w:after="120"/>
              <w:rPr>
                <w:b/>
                <w:bCs/>
              </w:rPr>
            </w:pPr>
            <w:r>
              <w:rPr>
                <w:b/>
                <w:bCs/>
              </w:rPr>
              <w:t>Public IP Addresses</w:t>
            </w:r>
          </w:p>
        </w:tc>
        <w:tc>
          <w:tcPr>
            <w:tcW w:w="6611" w:type="dxa"/>
          </w:tcPr>
          <w:p w14:paraId="5753B9BE" w14:textId="34DA1132" w:rsidR="00516234" w:rsidRDefault="00516234" w:rsidP="00516234">
            <w:pPr>
              <w:spacing w:before="120" w:after="120"/>
            </w:pPr>
            <w:r w:rsidRPr="00FD5BF4">
              <w:t xml:space="preserve">During the pilot phase of our service offering, we do not provide </w:t>
            </w:r>
            <w:r>
              <w:t xml:space="preserve">static </w:t>
            </w:r>
            <w:r w:rsidRPr="00CD6A63">
              <w:t>public</w:t>
            </w:r>
            <w:r w:rsidRPr="00FD5BF4">
              <w:t xml:space="preserve"> IP addresses. In the future, we will offer public IP addresses, including both IPv4 and IPv6 options.</w:t>
            </w:r>
          </w:p>
        </w:tc>
      </w:tr>
      <w:tr w:rsidR="00516234" w14:paraId="28F2E406" w14:textId="77777777" w:rsidTr="006600E5">
        <w:tc>
          <w:tcPr>
            <w:tcW w:w="2405" w:type="dxa"/>
            <w:shd w:val="clear" w:color="auto" w:fill="C1E4F5" w:themeFill="accent1" w:themeFillTint="33"/>
          </w:tcPr>
          <w:p w14:paraId="6751CF0F" w14:textId="21220A69" w:rsidR="00516234" w:rsidRDefault="00516234" w:rsidP="00516234">
            <w:pPr>
              <w:spacing w:before="120" w:after="120"/>
              <w:rPr>
                <w:b/>
                <w:bCs/>
              </w:rPr>
            </w:pPr>
            <w:r>
              <w:rPr>
                <w:b/>
                <w:bCs/>
              </w:rPr>
              <w:t>Wi-Fi Routers</w:t>
            </w:r>
          </w:p>
        </w:tc>
        <w:tc>
          <w:tcPr>
            <w:tcW w:w="6611" w:type="dxa"/>
          </w:tcPr>
          <w:p w14:paraId="488171AD" w14:textId="4D6714E0" w:rsidR="00516234" w:rsidRPr="00FD5BF4" w:rsidRDefault="00516234" w:rsidP="00516234">
            <w:pPr>
              <w:spacing w:before="120" w:after="120"/>
            </w:pPr>
            <w:r>
              <w:t xml:space="preserve">We can provide those customers that need a Wi-Fi router the option to purchase one from use, or you can Bring Your Own Device (BYOD) Wi-Fi router that can be connected to our fibre services. </w:t>
            </w:r>
          </w:p>
        </w:tc>
      </w:tr>
      <w:tr w:rsidR="00516234" w14:paraId="31D376AE" w14:textId="77777777" w:rsidTr="006600E5">
        <w:tc>
          <w:tcPr>
            <w:tcW w:w="2405" w:type="dxa"/>
            <w:shd w:val="clear" w:color="auto" w:fill="C1E4F5" w:themeFill="accent1" w:themeFillTint="33"/>
          </w:tcPr>
          <w:p w14:paraId="438EDCE8" w14:textId="0698A9AC" w:rsidR="00516234" w:rsidRDefault="00516234" w:rsidP="00516234">
            <w:pPr>
              <w:spacing w:before="120" w:after="120"/>
              <w:rPr>
                <w:b/>
                <w:bCs/>
              </w:rPr>
            </w:pPr>
            <w:r>
              <w:rPr>
                <w:b/>
                <w:bCs/>
              </w:rPr>
              <w:t>Wi-Fi Router Cost</w:t>
            </w:r>
            <w:r>
              <w:rPr>
                <w:rStyle w:val="FootnoteReference"/>
                <w:b/>
                <w:bCs/>
              </w:rPr>
              <w:footnoteReference w:id="2"/>
            </w:r>
          </w:p>
        </w:tc>
        <w:tc>
          <w:tcPr>
            <w:tcW w:w="6611" w:type="dxa"/>
          </w:tcPr>
          <w:p w14:paraId="5ABD78E3" w14:textId="315C3A4C" w:rsidR="00516234" w:rsidRDefault="00516234" w:rsidP="00516234">
            <w:pPr>
              <w:spacing w:before="120" w:after="120"/>
            </w:pPr>
            <w:r w:rsidRPr="007B4336">
              <w:t xml:space="preserve">If you choose to purchase a Wi-Fi </w:t>
            </w:r>
            <w:r>
              <w:t xml:space="preserve">router </w:t>
            </w:r>
            <w:r w:rsidRPr="007B4336">
              <w:t xml:space="preserve">from us, we offer them at an affordable </w:t>
            </w:r>
            <w:r>
              <w:t>cost</w:t>
            </w:r>
            <w:r w:rsidRPr="007B4336">
              <w:t>, ensuring the best value and quality. These devices are sourced from our distribution partner</w:t>
            </w:r>
            <w:r>
              <w:t xml:space="preserve"> (</w:t>
            </w:r>
            <w:r w:rsidRPr="007B4336">
              <w:t>PB Tech</w:t>
            </w:r>
            <w:r>
              <w:t>nologies)</w:t>
            </w:r>
            <w:r w:rsidRPr="007B4336">
              <w:t xml:space="preserve">. If the advertised Wi-Fi </w:t>
            </w:r>
            <w:r>
              <w:t xml:space="preserve">router </w:t>
            </w:r>
            <w:r w:rsidRPr="007B4336">
              <w:t>is out of stock</w:t>
            </w:r>
            <w:r>
              <w:t xml:space="preserve"> from our partners</w:t>
            </w:r>
            <w:r w:rsidRPr="007B4336">
              <w:t xml:space="preserve">, we may provide an equivalent </w:t>
            </w:r>
            <w:r>
              <w:t xml:space="preserve">router </w:t>
            </w:r>
            <w:r w:rsidRPr="007B4336">
              <w:t>at the same or better price point.</w:t>
            </w:r>
            <w:r>
              <w:t xml:space="preserve"> </w:t>
            </w:r>
          </w:p>
        </w:tc>
      </w:tr>
      <w:tr w:rsidR="00516234" w14:paraId="59C856E8" w14:textId="77777777" w:rsidTr="006600E5">
        <w:tc>
          <w:tcPr>
            <w:tcW w:w="2405" w:type="dxa"/>
            <w:shd w:val="clear" w:color="auto" w:fill="C1E4F5" w:themeFill="accent1" w:themeFillTint="33"/>
          </w:tcPr>
          <w:p w14:paraId="2C01738A" w14:textId="6F2E3011" w:rsidR="00516234" w:rsidRDefault="00516234" w:rsidP="00516234">
            <w:pPr>
              <w:spacing w:before="120" w:after="120"/>
              <w:rPr>
                <w:b/>
                <w:bCs/>
              </w:rPr>
            </w:pPr>
            <w:r>
              <w:rPr>
                <w:b/>
                <w:bCs/>
              </w:rPr>
              <w:t>Customer Services</w:t>
            </w:r>
          </w:p>
        </w:tc>
        <w:tc>
          <w:tcPr>
            <w:tcW w:w="6611" w:type="dxa"/>
          </w:tcPr>
          <w:p w14:paraId="4EBA3D23" w14:textId="702F7AC2" w:rsidR="00516234" w:rsidRPr="007B4336" w:rsidRDefault="00516234" w:rsidP="00516234">
            <w:pPr>
              <w:spacing w:before="120" w:after="120"/>
            </w:pPr>
            <w:r>
              <w:t xml:space="preserve">Our Customer Services are available from Monday to Friday from 9AM to 6PM. You can contact our customer support services by email on </w:t>
            </w:r>
            <w:hyperlink r:id="rId8" w:history="1">
              <w:r w:rsidRPr="00DC4F30">
                <w:rPr>
                  <w:rStyle w:val="Hyperlink"/>
                </w:rPr>
                <w:t>support@bainz.co.nz</w:t>
              </w:r>
            </w:hyperlink>
            <w:r>
              <w:t xml:space="preserve"> or by calling us on 0</w:t>
            </w:r>
            <w:r w:rsidRPr="003B5B97">
              <w:t>48</w:t>
            </w:r>
            <w:r>
              <w:t>-</w:t>
            </w:r>
            <w:r w:rsidRPr="003B5B97">
              <w:t>300</w:t>
            </w:r>
            <w:r>
              <w:t>-</w:t>
            </w:r>
            <w:r w:rsidRPr="003B5B97">
              <w:t>200</w:t>
            </w:r>
            <w:r>
              <w:t>.</w:t>
            </w:r>
          </w:p>
        </w:tc>
      </w:tr>
      <w:tr w:rsidR="00516234" w14:paraId="2B834991" w14:textId="77777777" w:rsidTr="006600E5">
        <w:tc>
          <w:tcPr>
            <w:tcW w:w="2405" w:type="dxa"/>
            <w:shd w:val="clear" w:color="auto" w:fill="C1E4F5" w:themeFill="accent1" w:themeFillTint="33"/>
          </w:tcPr>
          <w:p w14:paraId="3005146E" w14:textId="0F337CA0" w:rsidR="00516234" w:rsidRDefault="00516234" w:rsidP="00516234">
            <w:pPr>
              <w:spacing w:before="120" w:after="120"/>
              <w:rPr>
                <w:b/>
                <w:bCs/>
              </w:rPr>
            </w:pPr>
            <w:r>
              <w:rPr>
                <w:b/>
                <w:bCs/>
              </w:rPr>
              <w:t>Fibre Installation</w:t>
            </w:r>
          </w:p>
        </w:tc>
        <w:tc>
          <w:tcPr>
            <w:tcW w:w="6611" w:type="dxa"/>
          </w:tcPr>
          <w:p w14:paraId="4DED8139" w14:textId="1BAD27C3" w:rsidR="00516234" w:rsidRDefault="00516234" w:rsidP="00516234">
            <w:pPr>
              <w:spacing w:before="120" w:after="120"/>
            </w:pPr>
            <w:r>
              <w:t>If your address does not have fibre installed, we can help you get fibre installed if it is available under our coverage areas (use the address checked to see if you qualify). See our General Terms for more details on the process and if any costs will be applied.</w:t>
            </w:r>
          </w:p>
        </w:tc>
      </w:tr>
      <w:tr w:rsidR="00516234" w14:paraId="62BC847D" w14:textId="77777777" w:rsidTr="006600E5">
        <w:tc>
          <w:tcPr>
            <w:tcW w:w="2405" w:type="dxa"/>
            <w:shd w:val="clear" w:color="auto" w:fill="C1E4F5" w:themeFill="accent1" w:themeFillTint="33"/>
          </w:tcPr>
          <w:p w14:paraId="5D0432CD" w14:textId="106E4F76" w:rsidR="00516234" w:rsidRDefault="00516234" w:rsidP="00516234">
            <w:pPr>
              <w:spacing w:before="120" w:after="120"/>
              <w:rPr>
                <w:b/>
                <w:bCs/>
              </w:rPr>
            </w:pPr>
            <w:r>
              <w:rPr>
                <w:b/>
                <w:bCs/>
              </w:rPr>
              <w:t>Voice Services</w:t>
            </w:r>
          </w:p>
        </w:tc>
        <w:tc>
          <w:tcPr>
            <w:tcW w:w="6611" w:type="dxa"/>
          </w:tcPr>
          <w:p w14:paraId="051DC934" w14:textId="59A73286" w:rsidR="00516234" w:rsidRDefault="00516234" w:rsidP="00516234">
            <w:pPr>
              <w:spacing w:before="120" w:after="120"/>
            </w:pPr>
            <w:r w:rsidRPr="00EB3830">
              <w:t xml:space="preserve">We do not offer voice services on any of our plans. If you need voice services, please consider an </w:t>
            </w:r>
            <w:r w:rsidRPr="000608E3">
              <w:t>alternative</w:t>
            </w:r>
            <w:r w:rsidRPr="00EB3830">
              <w:t xml:space="preserve"> internet service provider that offers these services.</w:t>
            </w:r>
            <w:r>
              <w:t xml:space="preserve"> In future we may offer voice services which will be subject to compliance.</w:t>
            </w:r>
          </w:p>
        </w:tc>
      </w:tr>
      <w:tr w:rsidR="00516234" w14:paraId="11B5F627" w14:textId="77777777" w:rsidTr="006600E5">
        <w:tc>
          <w:tcPr>
            <w:tcW w:w="2405" w:type="dxa"/>
            <w:shd w:val="clear" w:color="auto" w:fill="C1E4F5" w:themeFill="accent1" w:themeFillTint="33"/>
          </w:tcPr>
          <w:p w14:paraId="1D4FBCA0" w14:textId="335A8F95" w:rsidR="00516234" w:rsidRDefault="00516234" w:rsidP="00516234">
            <w:pPr>
              <w:spacing w:before="120" w:after="120"/>
              <w:rPr>
                <w:b/>
                <w:bCs/>
              </w:rPr>
            </w:pPr>
            <w:r>
              <w:rPr>
                <w:b/>
                <w:bCs/>
              </w:rPr>
              <w:t>Alternative Access Services</w:t>
            </w:r>
          </w:p>
        </w:tc>
        <w:tc>
          <w:tcPr>
            <w:tcW w:w="6611" w:type="dxa"/>
          </w:tcPr>
          <w:p w14:paraId="17040EBC" w14:textId="719712C1" w:rsidR="00516234" w:rsidRPr="00EB3830" w:rsidRDefault="00516234" w:rsidP="00516234">
            <w:pPr>
              <w:spacing w:before="120" w:after="120"/>
            </w:pPr>
            <w:r w:rsidRPr="00221FAB">
              <w:t xml:space="preserve">This service relies on fibre access technology </w:t>
            </w:r>
            <w:r>
              <w:t xml:space="preserve">being present </w:t>
            </w:r>
            <w:r w:rsidRPr="00221FAB">
              <w:t xml:space="preserve">at your address. You may consider </w:t>
            </w:r>
            <w:r>
              <w:t>A</w:t>
            </w:r>
            <w:r w:rsidRPr="00221FAB">
              <w:t xml:space="preserve">lternative </w:t>
            </w:r>
            <w:r>
              <w:t>A</w:t>
            </w:r>
            <w:r w:rsidRPr="00221FAB">
              <w:t xml:space="preserve">ccess </w:t>
            </w:r>
            <w:r>
              <w:t>S</w:t>
            </w:r>
            <w:r w:rsidRPr="00221FAB">
              <w:t xml:space="preserve">ervices </w:t>
            </w:r>
            <w:r>
              <w:t xml:space="preserve">that may be </w:t>
            </w:r>
            <w:r w:rsidRPr="00221FAB">
              <w:t xml:space="preserve">offered by us or other </w:t>
            </w:r>
            <w:r>
              <w:t xml:space="preserve">service </w:t>
            </w:r>
            <w:r w:rsidRPr="00221FAB">
              <w:t>providers</w:t>
            </w:r>
            <w:r>
              <w:t>. S</w:t>
            </w:r>
            <w:r w:rsidRPr="00221FAB">
              <w:t xml:space="preserve">uch as </w:t>
            </w:r>
            <w:r>
              <w:t xml:space="preserve">cellular </w:t>
            </w:r>
            <w:r w:rsidRPr="00221FAB">
              <w:t>Fixed Wireless Access (FWA)</w:t>
            </w:r>
            <w:r>
              <w:t>,</w:t>
            </w:r>
            <w:r w:rsidRPr="00221FAB">
              <w:t xml:space="preserve"> Satellite Access Services</w:t>
            </w:r>
            <w:r>
              <w:t xml:space="preserve"> or other services</w:t>
            </w:r>
            <w:r w:rsidRPr="00221FAB">
              <w:t xml:space="preserve">. We cannot advise on </w:t>
            </w:r>
            <w:r>
              <w:t xml:space="preserve">suitable alternative </w:t>
            </w:r>
            <w:r w:rsidRPr="00221FAB">
              <w:t>service</w:t>
            </w:r>
            <w:r>
              <w:t xml:space="preserve"> types that are</w:t>
            </w:r>
            <w:r w:rsidRPr="00221FAB">
              <w:t xml:space="preserve"> not covered by our </w:t>
            </w:r>
            <w:r>
              <w:t xml:space="preserve">product </w:t>
            </w:r>
            <w:r w:rsidRPr="00221FAB">
              <w:t>offerings.</w:t>
            </w:r>
          </w:p>
        </w:tc>
      </w:tr>
      <w:tr w:rsidR="00516234" w14:paraId="1A3CB7DD" w14:textId="77777777" w:rsidTr="006600E5">
        <w:tc>
          <w:tcPr>
            <w:tcW w:w="2405" w:type="dxa"/>
            <w:shd w:val="clear" w:color="auto" w:fill="C1E4F5" w:themeFill="accent1" w:themeFillTint="33"/>
          </w:tcPr>
          <w:p w14:paraId="513AFC6C" w14:textId="6B2C5BEF" w:rsidR="00516234" w:rsidRDefault="00516234" w:rsidP="00516234">
            <w:pPr>
              <w:spacing w:before="120" w:after="120"/>
              <w:rPr>
                <w:b/>
                <w:bCs/>
              </w:rPr>
            </w:pPr>
            <w:r>
              <w:rPr>
                <w:b/>
                <w:bCs/>
              </w:rPr>
              <w:lastRenderedPageBreak/>
              <w:t>Busy Hours</w:t>
            </w:r>
          </w:p>
        </w:tc>
        <w:tc>
          <w:tcPr>
            <w:tcW w:w="6611" w:type="dxa"/>
          </w:tcPr>
          <w:p w14:paraId="5EF28DF4" w14:textId="2D0BEB63" w:rsidR="00516234" w:rsidRPr="00221FAB" w:rsidRDefault="00516234" w:rsidP="00516234">
            <w:pPr>
              <w:spacing w:before="120" w:after="120"/>
            </w:pPr>
            <w:r>
              <w:t>If traffic throttling applies to your services due to over usage, peak times on our network are identified between the hours of 7pm and 11pm.</w:t>
            </w:r>
          </w:p>
        </w:tc>
      </w:tr>
    </w:tbl>
    <w:p w14:paraId="0ECF956B" w14:textId="77777777" w:rsidR="008801FA" w:rsidRDefault="008801FA" w:rsidP="006600E5"/>
    <w:sectPr w:rsidR="00880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C94B0" w14:textId="77777777" w:rsidR="005B2C6F" w:rsidRDefault="005B2C6F" w:rsidP="00A5389D">
      <w:pPr>
        <w:spacing w:after="0" w:line="240" w:lineRule="auto"/>
      </w:pPr>
      <w:r>
        <w:separator/>
      </w:r>
    </w:p>
  </w:endnote>
  <w:endnote w:type="continuationSeparator" w:id="0">
    <w:p w14:paraId="05A5A5A0" w14:textId="77777777" w:rsidR="005B2C6F" w:rsidRDefault="005B2C6F" w:rsidP="00A5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59125" w14:textId="77777777" w:rsidR="005B2C6F" w:rsidRDefault="005B2C6F" w:rsidP="00A5389D">
      <w:pPr>
        <w:spacing w:after="0" w:line="240" w:lineRule="auto"/>
      </w:pPr>
      <w:r>
        <w:separator/>
      </w:r>
    </w:p>
  </w:footnote>
  <w:footnote w:type="continuationSeparator" w:id="0">
    <w:p w14:paraId="00B02A15" w14:textId="77777777" w:rsidR="005B2C6F" w:rsidRDefault="005B2C6F" w:rsidP="00A5389D">
      <w:pPr>
        <w:spacing w:after="0" w:line="240" w:lineRule="auto"/>
      </w:pPr>
      <w:r>
        <w:continuationSeparator/>
      </w:r>
    </w:p>
  </w:footnote>
  <w:footnote w:id="1">
    <w:p w14:paraId="6BCF64CF" w14:textId="3A3537D9" w:rsidR="00041574" w:rsidRDefault="00041574">
      <w:pPr>
        <w:pStyle w:val="FootnoteText"/>
      </w:pPr>
      <w:r>
        <w:rPr>
          <w:rStyle w:val="FootnoteReference"/>
        </w:rPr>
        <w:footnoteRef/>
      </w:r>
      <w:r>
        <w:t xml:space="preserve"> </w:t>
      </w:r>
      <w:r w:rsidR="00D475E5">
        <w:t>The throughput speeds are based on expected average speeds for this service under optimal connectivity, however, the actual throughput speeds may vary based on your Wi-Fi connection, internet traffic loads &amp;/or internet content provider limitations.</w:t>
      </w:r>
    </w:p>
  </w:footnote>
  <w:footnote w:id="2">
    <w:p w14:paraId="3694306D" w14:textId="26AC4930" w:rsidR="00516234" w:rsidRDefault="00516234">
      <w:pPr>
        <w:pStyle w:val="FootnoteText"/>
      </w:pPr>
      <w:r>
        <w:rPr>
          <w:rStyle w:val="FootnoteReference"/>
        </w:rPr>
        <w:footnoteRef/>
      </w:r>
      <w:r>
        <w:t xml:space="preserve"> Currently we do not offer a monthly plan for you to purchase our Wi-Fi routers, in future we will offer these as part of our Contract plans with a minimum term that may be 12 of more months where applicable.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CC"/>
    <w:rsid w:val="00023589"/>
    <w:rsid w:val="00034AA5"/>
    <w:rsid w:val="00041574"/>
    <w:rsid w:val="000515AD"/>
    <w:rsid w:val="00051615"/>
    <w:rsid w:val="000608E3"/>
    <w:rsid w:val="00067C08"/>
    <w:rsid w:val="000749D5"/>
    <w:rsid w:val="000846A5"/>
    <w:rsid w:val="000C176C"/>
    <w:rsid w:val="000F6238"/>
    <w:rsid w:val="00101B16"/>
    <w:rsid w:val="0010274A"/>
    <w:rsid w:val="00120659"/>
    <w:rsid w:val="001225BE"/>
    <w:rsid w:val="001278CA"/>
    <w:rsid w:val="00157D0E"/>
    <w:rsid w:val="0016531F"/>
    <w:rsid w:val="00176DE6"/>
    <w:rsid w:val="001811D7"/>
    <w:rsid w:val="001822DE"/>
    <w:rsid w:val="001A3C7D"/>
    <w:rsid w:val="001A7EA0"/>
    <w:rsid w:val="001B01FE"/>
    <w:rsid w:val="001B4AB7"/>
    <w:rsid w:val="001C6B59"/>
    <w:rsid w:val="001D0987"/>
    <w:rsid w:val="001D1C36"/>
    <w:rsid w:val="001E6628"/>
    <w:rsid w:val="001E6B1C"/>
    <w:rsid w:val="001F7148"/>
    <w:rsid w:val="00200DEA"/>
    <w:rsid w:val="00221FAB"/>
    <w:rsid w:val="002438CB"/>
    <w:rsid w:val="00277990"/>
    <w:rsid w:val="0028181D"/>
    <w:rsid w:val="00295928"/>
    <w:rsid w:val="002E1A1E"/>
    <w:rsid w:val="002F1133"/>
    <w:rsid w:val="002F1573"/>
    <w:rsid w:val="0031703E"/>
    <w:rsid w:val="0032298F"/>
    <w:rsid w:val="00325B47"/>
    <w:rsid w:val="00334336"/>
    <w:rsid w:val="003559C0"/>
    <w:rsid w:val="003670A6"/>
    <w:rsid w:val="00372E6C"/>
    <w:rsid w:val="00381EF1"/>
    <w:rsid w:val="0038492B"/>
    <w:rsid w:val="003B5B97"/>
    <w:rsid w:val="003D79DF"/>
    <w:rsid w:val="003F4CF4"/>
    <w:rsid w:val="00416A2E"/>
    <w:rsid w:val="004179DB"/>
    <w:rsid w:val="0042546B"/>
    <w:rsid w:val="00426B40"/>
    <w:rsid w:val="00436A03"/>
    <w:rsid w:val="00475E55"/>
    <w:rsid w:val="00482190"/>
    <w:rsid w:val="0048720C"/>
    <w:rsid w:val="004A1D4E"/>
    <w:rsid w:val="004C0A6F"/>
    <w:rsid w:val="004C5BDE"/>
    <w:rsid w:val="004D567E"/>
    <w:rsid w:val="004D64F6"/>
    <w:rsid w:val="004E128B"/>
    <w:rsid w:val="004F2671"/>
    <w:rsid w:val="004F7A6C"/>
    <w:rsid w:val="00507DF8"/>
    <w:rsid w:val="00510926"/>
    <w:rsid w:val="00515B2F"/>
    <w:rsid w:val="00516234"/>
    <w:rsid w:val="00522151"/>
    <w:rsid w:val="005266BD"/>
    <w:rsid w:val="00526E07"/>
    <w:rsid w:val="00532B1A"/>
    <w:rsid w:val="00534D1B"/>
    <w:rsid w:val="0053720D"/>
    <w:rsid w:val="00542185"/>
    <w:rsid w:val="00562C9F"/>
    <w:rsid w:val="00575175"/>
    <w:rsid w:val="0058151F"/>
    <w:rsid w:val="005A44F5"/>
    <w:rsid w:val="005B2C6F"/>
    <w:rsid w:val="005D475D"/>
    <w:rsid w:val="005E07BD"/>
    <w:rsid w:val="005E45F9"/>
    <w:rsid w:val="005E6347"/>
    <w:rsid w:val="006066C9"/>
    <w:rsid w:val="00620B0A"/>
    <w:rsid w:val="006515C9"/>
    <w:rsid w:val="006532BC"/>
    <w:rsid w:val="006564B0"/>
    <w:rsid w:val="006600E5"/>
    <w:rsid w:val="00661418"/>
    <w:rsid w:val="006662DF"/>
    <w:rsid w:val="0066674B"/>
    <w:rsid w:val="006672FA"/>
    <w:rsid w:val="00667659"/>
    <w:rsid w:val="006715E8"/>
    <w:rsid w:val="00677F37"/>
    <w:rsid w:val="00687105"/>
    <w:rsid w:val="0069729F"/>
    <w:rsid w:val="006B0510"/>
    <w:rsid w:val="006B228A"/>
    <w:rsid w:val="0071182C"/>
    <w:rsid w:val="00713C7A"/>
    <w:rsid w:val="00740003"/>
    <w:rsid w:val="00753DCF"/>
    <w:rsid w:val="0075573C"/>
    <w:rsid w:val="00755788"/>
    <w:rsid w:val="00771F1B"/>
    <w:rsid w:val="007B4336"/>
    <w:rsid w:val="007C2E40"/>
    <w:rsid w:val="007C3898"/>
    <w:rsid w:val="007C6673"/>
    <w:rsid w:val="007D4B0F"/>
    <w:rsid w:val="007E3AC6"/>
    <w:rsid w:val="007F364A"/>
    <w:rsid w:val="007F7B18"/>
    <w:rsid w:val="00800A80"/>
    <w:rsid w:val="00807345"/>
    <w:rsid w:val="00832323"/>
    <w:rsid w:val="008367B8"/>
    <w:rsid w:val="0086134E"/>
    <w:rsid w:val="0086582F"/>
    <w:rsid w:val="008708E3"/>
    <w:rsid w:val="00873FDA"/>
    <w:rsid w:val="008801FA"/>
    <w:rsid w:val="00882E95"/>
    <w:rsid w:val="00894712"/>
    <w:rsid w:val="008C051A"/>
    <w:rsid w:val="008E7A1F"/>
    <w:rsid w:val="009366D5"/>
    <w:rsid w:val="00942E25"/>
    <w:rsid w:val="00944BC4"/>
    <w:rsid w:val="00966470"/>
    <w:rsid w:val="009714FC"/>
    <w:rsid w:val="009C0CF9"/>
    <w:rsid w:val="009E3ACC"/>
    <w:rsid w:val="009F0340"/>
    <w:rsid w:val="009F05B3"/>
    <w:rsid w:val="009F78F3"/>
    <w:rsid w:val="00A104E1"/>
    <w:rsid w:val="00A5389D"/>
    <w:rsid w:val="00A5391F"/>
    <w:rsid w:val="00A63169"/>
    <w:rsid w:val="00A655AF"/>
    <w:rsid w:val="00A90EAC"/>
    <w:rsid w:val="00A96E59"/>
    <w:rsid w:val="00AC0CB5"/>
    <w:rsid w:val="00AC14EA"/>
    <w:rsid w:val="00AC5170"/>
    <w:rsid w:val="00AC6192"/>
    <w:rsid w:val="00AF6D35"/>
    <w:rsid w:val="00B01D3C"/>
    <w:rsid w:val="00B01DEF"/>
    <w:rsid w:val="00B23F57"/>
    <w:rsid w:val="00B37542"/>
    <w:rsid w:val="00B52547"/>
    <w:rsid w:val="00B55313"/>
    <w:rsid w:val="00BA59E1"/>
    <w:rsid w:val="00BA5B20"/>
    <w:rsid w:val="00BC4492"/>
    <w:rsid w:val="00BD4E61"/>
    <w:rsid w:val="00BD5F09"/>
    <w:rsid w:val="00BF0898"/>
    <w:rsid w:val="00BF714C"/>
    <w:rsid w:val="00C00977"/>
    <w:rsid w:val="00C05561"/>
    <w:rsid w:val="00C0627A"/>
    <w:rsid w:val="00C071D2"/>
    <w:rsid w:val="00C07B9A"/>
    <w:rsid w:val="00C4324F"/>
    <w:rsid w:val="00C56F58"/>
    <w:rsid w:val="00C6151E"/>
    <w:rsid w:val="00C64B2A"/>
    <w:rsid w:val="00C70165"/>
    <w:rsid w:val="00C76D83"/>
    <w:rsid w:val="00C83133"/>
    <w:rsid w:val="00C86DB9"/>
    <w:rsid w:val="00C90960"/>
    <w:rsid w:val="00CB3730"/>
    <w:rsid w:val="00CB6706"/>
    <w:rsid w:val="00CC787C"/>
    <w:rsid w:val="00CD1DED"/>
    <w:rsid w:val="00CD6A63"/>
    <w:rsid w:val="00CE1F84"/>
    <w:rsid w:val="00CE7CEC"/>
    <w:rsid w:val="00D013C2"/>
    <w:rsid w:val="00D15387"/>
    <w:rsid w:val="00D33289"/>
    <w:rsid w:val="00D338F9"/>
    <w:rsid w:val="00D40C94"/>
    <w:rsid w:val="00D475E5"/>
    <w:rsid w:val="00D701CF"/>
    <w:rsid w:val="00D80F5A"/>
    <w:rsid w:val="00D83352"/>
    <w:rsid w:val="00D87335"/>
    <w:rsid w:val="00D96F45"/>
    <w:rsid w:val="00DB37E8"/>
    <w:rsid w:val="00DB5AC0"/>
    <w:rsid w:val="00DC1DBB"/>
    <w:rsid w:val="00DC20B6"/>
    <w:rsid w:val="00DC2221"/>
    <w:rsid w:val="00DC5335"/>
    <w:rsid w:val="00DF4C7A"/>
    <w:rsid w:val="00DF4F83"/>
    <w:rsid w:val="00E2042B"/>
    <w:rsid w:val="00E207DC"/>
    <w:rsid w:val="00E238E7"/>
    <w:rsid w:val="00E26FAA"/>
    <w:rsid w:val="00E33014"/>
    <w:rsid w:val="00E51F9C"/>
    <w:rsid w:val="00E52BFD"/>
    <w:rsid w:val="00E83EA1"/>
    <w:rsid w:val="00E97517"/>
    <w:rsid w:val="00EB3830"/>
    <w:rsid w:val="00EE1223"/>
    <w:rsid w:val="00EE1FF7"/>
    <w:rsid w:val="00EE29B5"/>
    <w:rsid w:val="00EE47FC"/>
    <w:rsid w:val="00EF1177"/>
    <w:rsid w:val="00EF69A2"/>
    <w:rsid w:val="00F11998"/>
    <w:rsid w:val="00F46A80"/>
    <w:rsid w:val="00F556E6"/>
    <w:rsid w:val="00F75EA1"/>
    <w:rsid w:val="00F906A7"/>
    <w:rsid w:val="00F91B29"/>
    <w:rsid w:val="00F966D4"/>
    <w:rsid w:val="00FA3361"/>
    <w:rsid w:val="00FA5C51"/>
    <w:rsid w:val="00FB34E4"/>
    <w:rsid w:val="00FB682F"/>
    <w:rsid w:val="00FB6846"/>
    <w:rsid w:val="00FC04CB"/>
    <w:rsid w:val="00FC280B"/>
    <w:rsid w:val="00FC6D95"/>
    <w:rsid w:val="00FD48C1"/>
    <w:rsid w:val="00FD5BF4"/>
    <w:rsid w:val="00FE6590"/>
    <w:rsid w:val="00FE6E93"/>
    <w:rsid w:val="00FF32BE"/>
    <w:rsid w:val="00FF47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D261"/>
  <w15:chartTrackingRefBased/>
  <w15:docId w15:val="{F2470337-54BF-4FBF-9B0A-6E0C2032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E5"/>
    <w:rPr>
      <w:rFonts w:ascii="Segoe UI" w:hAnsi="Segoe UI" w:cs="Segoe UI"/>
    </w:rPr>
  </w:style>
  <w:style w:type="paragraph" w:styleId="Heading1">
    <w:name w:val="heading 1"/>
    <w:basedOn w:val="Normal"/>
    <w:next w:val="Normal"/>
    <w:link w:val="Heading1Char"/>
    <w:uiPriority w:val="9"/>
    <w:qFormat/>
    <w:rsid w:val="009E3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ACC"/>
    <w:rPr>
      <w:rFonts w:eastAsiaTheme="majorEastAsia" w:cstheme="majorBidi"/>
      <w:color w:val="272727" w:themeColor="text1" w:themeTint="D8"/>
    </w:rPr>
  </w:style>
  <w:style w:type="paragraph" w:styleId="Title">
    <w:name w:val="Title"/>
    <w:basedOn w:val="Normal"/>
    <w:next w:val="Normal"/>
    <w:link w:val="TitleChar"/>
    <w:uiPriority w:val="10"/>
    <w:qFormat/>
    <w:rsid w:val="009E3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ACC"/>
    <w:pPr>
      <w:spacing w:before="160"/>
      <w:jc w:val="center"/>
    </w:pPr>
    <w:rPr>
      <w:i/>
      <w:iCs/>
      <w:color w:val="404040" w:themeColor="text1" w:themeTint="BF"/>
    </w:rPr>
  </w:style>
  <w:style w:type="character" w:customStyle="1" w:styleId="QuoteChar">
    <w:name w:val="Quote Char"/>
    <w:basedOn w:val="DefaultParagraphFont"/>
    <w:link w:val="Quote"/>
    <w:uiPriority w:val="29"/>
    <w:rsid w:val="009E3ACC"/>
    <w:rPr>
      <w:i/>
      <w:iCs/>
      <w:color w:val="404040" w:themeColor="text1" w:themeTint="BF"/>
    </w:rPr>
  </w:style>
  <w:style w:type="paragraph" w:styleId="ListParagraph">
    <w:name w:val="List Paragraph"/>
    <w:basedOn w:val="Normal"/>
    <w:uiPriority w:val="34"/>
    <w:qFormat/>
    <w:rsid w:val="009E3ACC"/>
    <w:pPr>
      <w:ind w:left="720"/>
      <w:contextualSpacing/>
    </w:pPr>
  </w:style>
  <w:style w:type="character" w:styleId="IntenseEmphasis">
    <w:name w:val="Intense Emphasis"/>
    <w:basedOn w:val="DefaultParagraphFont"/>
    <w:uiPriority w:val="21"/>
    <w:qFormat/>
    <w:rsid w:val="009E3ACC"/>
    <w:rPr>
      <w:i/>
      <w:iCs/>
      <w:color w:val="0F4761" w:themeColor="accent1" w:themeShade="BF"/>
    </w:rPr>
  </w:style>
  <w:style w:type="paragraph" w:styleId="IntenseQuote">
    <w:name w:val="Intense Quote"/>
    <w:basedOn w:val="Normal"/>
    <w:next w:val="Normal"/>
    <w:link w:val="IntenseQuoteChar"/>
    <w:uiPriority w:val="30"/>
    <w:qFormat/>
    <w:rsid w:val="009E3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ACC"/>
    <w:rPr>
      <w:i/>
      <w:iCs/>
      <w:color w:val="0F4761" w:themeColor="accent1" w:themeShade="BF"/>
    </w:rPr>
  </w:style>
  <w:style w:type="character" w:styleId="IntenseReference">
    <w:name w:val="Intense Reference"/>
    <w:basedOn w:val="DefaultParagraphFont"/>
    <w:uiPriority w:val="32"/>
    <w:qFormat/>
    <w:rsid w:val="009E3ACC"/>
    <w:rPr>
      <w:b/>
      <w:bCs/>
      <w:smallCaps/>
      <w:color w:val="0F4761" w:themeColor="accent1" w:themeShade="BF"/>
      <w:spacing w:val="5"/>
    </w:rPr>
  </w:style>
  <w:style w:type="table" w:styleId="TableGrid">
    <w:name w:val="Table Grid"/>
    <w:basedOn w:val="TableNormal"/>
    <w:uiPriority w:val="39"/>
    <w:rsid w:val="009F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3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89D"/>
    <w:rPr>
      <w:rFonts w:ascii="Segoe UI" w:hAnsi="Segoe UI" w:cs="Segoe UI"/>
      <w:sz w:val="20"/>
      <w:szCs w:val="20"/>
    </w:rPr>
  </w:style>
  <w:style w:type="character" w:styleId="FootnoteReference">
    <w:name w:val="footnote reference"/>
    <w:basedOn w:val="DefaultParagraphFont"/>
    <w:uiPriority w:val="99"/>
    <w:semiHidden/>
    <w:unhideWhenUsed/>
    <w:rsid w:val="00A5389D"/>
    <w:rPr>
      <w:vertAlign w:val="superscript"/>
    </w:rPr>
  </w:style>
  <w:style w:type="character" w:styleId="Hyperlink">
    <w:name w:val="Hyperlink"/>
    <w:basedOn w:val="DefaultParagraphFont"/>
    <w:uiPriority w:val="99"/>
    <w:unhideWhenUsed/>
    <w:rsid w:val="00AC0CB5"/>
    <w:rPr>
      <w:color w:val="467886" w:themeColor="hyperlink"/>
      <w:u w:val="single"/>
    </w:rPr>
  </w:style>
  <w:style w:type="character" w:styleId="UnresolvedMention">
    <w:name w:val="Unresolved Mention"/>
    <w:basedOn w:val="DefaultParagraphFont"/>
    <w:uiPriority w:val="99"/>
    <w:semiHidden/>
    <w:unhideWhenUsed/>
    <w:rsid w:val="00AC0CB5"/>
    <w:rPr>
      <w:color w:val="605E5C"/>
      <w:shd w:val="clear" w:color="auto" w:fill="E1DFDD"/>
    </w:rPr>
  </w:style>
  <w:style w:type="paragraph" w:styleId="Revision">
    <w:name w:val="Revision"/>
    <w:hidden/>
    <w:uiPriority w:val="99"/>
    <w:semiHidden/>
    <w:rsid w:val="00EE29B5"/>
    <w:pPr>
      <w:spacing w:after="0" w:line="240" w:lineRule="auto"/>
    </w:pPr>
    <w:rPr>
      <w:rFonts w:ascii="Segoe UI" w:hAnsi="Segoe UI" w:cs="Segoe UI"/>
    </w:rPr>
  </w:style>
  <w:style w:type="character" w:styleId="CommentReference">
    <w:name w:val="annotation reference"/>
    <w:basedOn w:val="DefaultParagraphFont"/>
    <w:uiPriority w:val="99"/>
    <w:semiHidden/>
    <w:unhideWhenUsed/>
    <w:rsid w:val="00EE29B5"/>
    <w:rPr>
      <w:sz w:val="16"/>
      <w:szCs w:val="16"/>
    </w:rPr>
  </w:style>
  <w:style w:type="paragraph" w:styleId="CommentText">
    <w:name w:val="annotation text"/>
    <w:basedOn w:val="Normal"/>
    <w:link w:val="CommentTextChar"/>
    <w:uiPriority w:val="99"/>
    <w:unhideWhenUsed/>
    <w:rsid w:val="00EE29B5"/>
    <w:pPr>
      <w:spacing w:line="240" w:lineRule="auto"/>
    </w:pPr>
    <w:rPr>
      <w:sz w:val="20"/>
      <w:szCs w:val="20"/>
    </w:rPr>
  </w:style>
  <w:style w:type="character" w:customStyle="1" w:styleId="CommentTextChar">
    <w:name w:val="Comment Text Char"/>
    <w:basedOn w:val="DefaultParagraphFont"/>
    <w:link w:val="CommentText"/>
    <w:uiPriority w:val="99"/>
    <w:rsid w:val="00EE29B5"/>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E29B5"/>
    <w:rPr>
      <w:b/>
      <w:bCs/>
    </w:rPr>
  </w:style>
  <w:style w:type="character" w:customStyle="1" w:styleId="CommentSubjectChar">
    <w:name w:val="Comment Subject Char"/>
    <w:basedOn w:val="CommentTextChar"/>
    <w:link w:val="CommentSubject"/>
    <w:uiPriority w:val="99"/>
    <w:semiHidden/>
    <w:rsid w:val="00EE29B5"/>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ainz.co.nz" TargetMode="External"/><Relationship Id="rId3" Type="http://schemas.openxmlformats.org/officeDocument/2006/relationships/settings" Target="settings.xml"/><Relationship Id="rId7" Type="http://schemas.openxmlformats.org/officeDocument/2006/relationships/hyperlink" Target="https://www.bainz.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40E5-6408-4334-B80E-24B3CEAD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Bains</dc:creator>
  <cp:keywords/>
  <dc:description/>
  <cp:lastModifiedBy>Pete Bains</cp:lastModifiedBy>
  <cp:revision>42</cp:revision>
  <dcterms:created xsi:type="dcterms:W3CDTF">2024-11-06T02:49:00Z</dcterms:created>
  <dcterms:modified xsi:type="dcterms:W3CDTF">2024-11-06T05:46:00Z</dcterms:modified>
</cp:coreProperties>
</file>